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108"/>
        <w:spacing w:before="199" w:line="185" w:lineRule="auto"/>
        <w:rPr>
          <w:rFonts w:ascii="SimSun" w:hAnsi="SimSun" w:eastAsia="SimSun" w:cs="SimSun"/>
          <w:sz w:val="61"/>
          <w:szCs w:val="61"/>
        </w:rPr>
      </w:pP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福</w:t>
      </w:r>
      <w:r>
        <w:rPr>
          <w:rFonts w:ascii="SimSun" w:hAnsi="SimSun" w:eastAsia="SimSun" w:cs="SimSun"/>
          <w:sz w:val="61"/>
          <w:szCs w:val="61"/>
          <w:color w:val="D40B18"/>
          <w:spacing w:val="134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建</w:t>
      </w:r>
      <w:r>
        <w:rPr>
          <w:rFonts w:ascii="SimSun" w:hAnsi="SimSun" w:eastAsia="SimSun" w:cs="SimSun"/>
          <w:sz w:val="61"/>
          <w:szCs w:val="61"/>
          <w:color w:val="D40B18"/>
          <w:spacing w:val="131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省</w:t>
      </w:r>
      <w:r>
        <w:rPr>
          <w:rFonts w:ascii="SimSun" w:hAnsi="SimSun" w:eastAsia="SimSun" w:cs="SimSun"/>
          <w:sz w:val="61"/>
          <w:szCs w:val="61"/>
          <w:color w:val="D40B18"/>
          <w:spacing w:val="122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科</w:t>
      </w:r>
      <w:r>
        <w:rPr>
          <w:rFonts w:ascii="SimSun" w:hAnsi="SimSun" w:eastAsia="SimSun" w:cs="SimSun"/>
          <w:sz w:val="61"/>
          <w:szCs w:val="61"/>
          <w:color w:val="D40B18"/>
          <w:spacing w:val="134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学</w:t>
      </w:r>
      <w:r>
        <w:rPr>
          <w:rFonts w:ascii="SimSun" w:hAnsi="SimSun" w:eastAsia="SimSun" w:cs="SimSun"/>
          <w:sz w:val="61"/>
          <w:szCs w:val="61"/>
          <w:color w:val="D40B18"/>
          <w:spacing w:val="124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技</w:t>
      </w:r>
      <w:r>
        <w:rPr>
          <w:rFonts w:ascii="SimSun" w:hAnsi="SimSun" w:eastAsia="SimSun" w:cs="SimSun"/>
          <w:sz w:val="61"/>
          <w:szCs w:val="61"/>
          <w:color w:val="D40B18"/>
          <w:spacing w:val="126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术</w:t>
      </w:r>
      <w:r>
        <w:rPr>
          <w:rFonts w:ascii="SimSun" w:hAnsi="SimSun" w:eastAsia="SimSun" w:cs="SimSun"/>
          <w:sz w:val="61"/>
          <w:szCs w:val="61"/>
          <w:color w:val="D40B18"/>
          <w:spacing w:val="131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厅</w:t>
      </w:r>
    </w:p>
    <w:p>
      <w:pPr>
        <w:ind w:left="108" w:firstLine="7930"/>
        <w:spacing w:before="3" w:line="198" w:lineRule="auto"/>
        <w:rPr>
          <w:rFonts w:ascii="SimSun" w:hAnsi="SimSun" w:eastAsia="SimSun" w:cs="SimSun"/>
          <w:sz w:val="61"/>
          <w:szCs w:val="61"/>
        </w:rPr>
      </w:pP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2"/>
        </w:rPr>
        <w:t>文</w:t>
      </w:r>
      <w:r>
        <w:rPr>
          <w:rFonts w:ascii="SimSun" w:hAnsi="SimSun" w:eastAsia="SimSun" w:cs="SimSun"/>
          <w:sz w:val="61"/>
          <w:szCs w:val="61"/>
          <w:color w:val="D40B18"/>
          <w:spacing w:val="19"/>
        </w:rPr>
        <w:t xml:space="preserve"> 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2"/>
        </w:rPr>
        <w:t>件</w:t>
      </w:r>
      <w:r>
        <w:rPr>
          <w:rFonts w:ascii="SimSun" w:hAnsi="SimSun" w:eastAsia="SimSun" w:cs="SimSun"/>
          <w:sz w:val="61"/>
          <w:szCs w:val="61"/>
          <w:color w:val="D40B18"/>
          <w:spacing w:val="1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福</w:t>
      </w:r>
      <w:r>
        <w:rPr>
          <w:rFonts w:ascii="SimSun" w:hAnsi="SimSun" w:eastAsia="SimSun" w:cs="SimSun"/>
          <w:sz w:val="61"/>
          <w:szCs w:val="61"/>
          <w:color w:val="D40B18"/>
          <w:spacing w:val="-5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建</w:t>
      </w:r>
      <w:r>
        <w:rPr>
          <w:rFonts w:ascii="SimSun" w:hAnsi="SimSun" w:eastAsia="SimSun" w:cs="SimSun"/>
          <w:sz w:val="61"/>
          <w:szCs w:val="61"/>
          <w:color w:val="D40B18"/>
          <w:spacing w:val="-8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省</w:t>
      </w:r>
      <w:r>
        <w:rPr>
          <w:rFonts w:ascii="SimSun" w:hAnsi="SimSun" w:eastAsia="SimSun" w:cs="SimSun"/>
          <w:sz w:val="61"/>
          <w:szCs w:val="61"/>
          <w:color w:val="D40B18"/>
          <w:spacing w:val="-18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科</w:t>
      </w:r>
      <w:r>
        <w:rPr>
          <w:rFonts w:ascii="SimSun" w:hAnsi="SimSun" w:eastAsia="SimSun" w:cs="SimSun"/>
          <w:sz w:val="61"/>
          <w:szCs w:val="61"/>
          <w:color w:val="D40B18"/>
          <w:spacing w:val="-6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学</w:t>
      </w:r>
      <w:r>
        <w:rPr>
          <w:rFonts w:ascii="SimSun" w:hAnsi="SimSun" w:eastAsia="SimSun" w:cs="SimSun"/>
          <w:sz w:val="61"/>
          <w:szCs w:val="61"/>
          <w:color w:val="D40B18"/>
          <w:spacing w:val="-16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技</w:t>
      </w:r>
      <w:r>
        <w:rPr>
          <w:rFonts w:ascii="SimSun" w:hAnsi="SimSun" w:eastAsia="SimSun" w:cs="SimSun"/>
          <w:sz w:val="61"/>
          <w:szCs w:val="61"/>
          <w:color w:val="D40B18"/>
          <w:spacing w:val="-13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术</w:t>
      </w:r>
      <w:r>
        <w:rPr>
          <w:rFonts w:ascii="SimSun" w:hAnsi="SimSun" w:eastAsia="SimSun" w:cs="SimSun"/>
          <w:sz w:val="61"/>
          <w:szCs w:val="61"/>
          <w:color w:val="D40B18"/>
          <w:spacing w:val="-16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协</w:t>
      </w:r>
      <w:r>
        <w:rPr>
          <w:rFonts w:ascii="SimSun" w:hAnsi="SimSun" w:eastAsia="SimSun" w:cs="SimSun"/>
          <w:sz w:val="61"/>
          <w:szCs w:val="61"/>
          <w:color w:val="D40B18"/>
          <w:spacing w:val="-21"/>
        </w:rPr>
        <w:t xml:space="preserve"> </w:t>
      </w:r>
      <w:r>
        <w:rPr>
          <w:rFonts w:ascii="SimSun" w:hAnsi="SimSun" w:eastAsia="SimSun" w:cs="SimSun"/>
          <w:sz w:val="61"/>
          <w:szCs w:val="61"/>
          <w:b/>
          <w:bCs/>
          <w:color w:val="D40B18"/>
          <w:spacing w:val="-24"/>
        </w:rPr>
        <w:t>会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ind w:left="3169"/>
        <w:spacing w:before="104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5"/>
        </w:rPr>
        <w:t>闽科政〔2023〕3号</w:t>
      </w:r>
    </w:p>
    <w:p>
      <w:pPr>
        <w:spacing w:before="224" w:line="60" w:lineRule="exact"/>
        <w:textAlignment w:val="center"/>
        <w:rPr/>
      </w:pPr>
      <w:r>
        <w:drawing>
          <wp:inline distT="0" distB="0" distL="0" distR="0">
            <wp:extent cx="5651506" cy="38130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51506" cy="3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ind w:left="516"/>
        <w:spacing w:before="143" w:line="219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b/>
          <w:bCs/>
          <w:spacing w:val="25"/>
        </w:rPr>
        <w:t>福建省科学技术厅福建省科学技术协会</w:t>
      </w:r>
    </w:p>
    <w:p>
      <w:pPr>
        <w:ind w:left="736"/>
        <w:spacing w:before="51" w:line="219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b/>
          <w:bCs/>
          <w:spacing w:val="22"/>
        </w:rPr>
        <w:t>关于组织申报2023年福建省创新战略</w:t>
      </w:r>
    </w:p>
    <w:p>
      <w:pPr>
        <w:ind w:left="1976"/>
        <w:spacing w:before="45" w:line="219" w:lineRule="auto"/>
        <w:rPr>
          <w:rFonts w:ascii="SimSun" w:hAnsi="SimSun" w:eastAsia="SimSun" w:cs="SimSun"/>
          <w:sz w:val="44"/>
          <w:szCs w:val="44"/>
        </w:rPr>
      </w:pPr>
      <w:r>
        <w:rPr>
          <w:rFonts w:ascii="SimSun" w:hAnsi="SimSun" w:eastAsia="SimSun" w:cs="SimSun"/>
          <w:sz w:val="44"/>
          <w:szCs w:val="44"/>
          <w:b/>
          <w:bCs/>
          <w:spacing w:val="15"/>
        </w:rPr>
        <w:t>研究计划联合项目的通知</w:t>
      </w:r>
    </w:p>
    <w:p>
      <w:pPr>
        <w:spacing w:line="330" w:lineRule="auto"/>
        <w:rPr>
          <w:rFonts w:ascii="Arial"/>
          <w:sz w:val="21"/>
        </w:rPr>
      </w:pPr>
      <w:r/>
    </w:p>
    <w:p>
      <w:pPr>
        <w:spacing w:line="330" w:lineRule="auto"/>
        <w:rPr>
          <w:rFonts w:ascii="Arial"/>
          <w:sz w:val="21"/>
        </w:rPr>
      </w:pPr>
      <w:r/>
    </w:p>
    <w:p>
      <w:pPr>
        <w:ind w:left="99"/>
        <w:spacing w:before="104" w:line="591" w:lineRule="exact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8"/>
          <w:position w:val="20"/>
        </w:rPr>
        <w:t>各本科高校、中直及省属科研院所、省创新实验室、省级医</w:t>
      </w:r>
    </w:p>
    <w:p>
      <w:pPr>
        <w:ind w:left="99"/>
        <w:spacing w:before="1" w:line="222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34"/>
        </w:rPr>
        <w:t>院及省科协所属省级学会(协会、研究会):</w:t>
      </w:r>
    </w:p>
    <w:p>
      <w:pPr>
        <w:ind w:left="99" w:right="817" w:firstLine="659"/>
        <w:spacing w:before="215" w:line="346" w:lineRule="auto"/>
        <w:jc w:val="both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9"/>
        </w:rPr>
        <w:t>为进一步深入贯彻党的二十大精神，坚持科技是第一生</w:t>
      </w:r>
      <w:r>
        <w:rPr>
          <w:rFonts w:ascii="FangSong" w:hAnsi="FangSong" w:eastAsia="FangSong" w:cs="FangSong"/>
          <w:sz w:val="32"/>
          <w:szCs w:val="32"/>
        </w:rPr>
        <w:t xml:space="preserve">  </w:t>
      </w:r>
      <w:r>
        <w:rPr>
          <w:rFonts w:ascii="FangSong" w:hAnsi="FangSong" w:eastAsia="FangSong" w:cs="FangSong"/>
          <w:sz w:val="32"/>
          <w:szCs w:val="32"/>
          <w:spacing w:val="18"/>
        </w:rPr>
        <w:t>产力、人才是第一资源、创新是第一动力，发挥科协组织优</w:t>
      </w:r>
      <w:r>
        <w:rPr>
          <w:rFonts w:ascii="FangSong" w:hAnsi="FangSong" w:eastAsia="FangSong" w:cs="FangSong"/>
          <w:sz w:val="32"/>
          <w:szCs w:val="32"/>
          <w:spacing w:val="4"/>
        </w:rPr>
        <w:t xml:space="preserve">  </w:t>
      </w:r>
      <w:r>
        <w:rPr>
          <w:rFonts w:ascii="FangSong" w:hAnsi="FangSong" w:eastAsia="FangSong" w:cs="FangSong"/>
          <w:sz w:val="32"/>
          <w:szCs w:val="32"/>
          <w:spacing w:val="19"/>
        </w:rPr>
        <w:t>势，组织动员广大科技工作者围绕我省经济社会发展重大问</w:t>
      </w:r>
      <w:r>
        <w:rPr>
          <w:rFonts w:ascii="FangSong" w:hAnsi="FangSong" w:eastAsia="FangSong" w:cs="FangSong"/>
          <w:sz w:val="32"/>
          <w:szCs w:val="32"/>
          <w:spacing w:val="5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2"/>
        </w:rPr>
        <w:t>题和科协组织创新发展问题开展创新战略研究，提出</w:t>
      </w:r>
      <w:r>
        <w:rPr>
          <w:rFonts w:ascii="FangSong" w:hAnsi="FangSong" w:eastAsia="FangSong" w:cs="FangSong"/>
          <w:sz w:val="32"/>
          <w:szCs w:val="32"/>
          <w:spacing w:val="11"/>
        </w:rPr>
        <w:t>前瞻性、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8"/>
        </w:rPr>
        <w:t>建设性意见建议，为党委政府科学决策提供智力支撑，全方</w:t>
      </w:r>
    </w:p>
    <w:p>
      <w:pPr>
        <w:ind w:left="99"/>
        <w:spacing w:before="1" w:line="221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8"/>
        </w:rPr>
        <w:t>位推进福建高质量发展。经研究，决定组织实施2023年</w:t>
      </w:r>
      <w:r>
        <w:rPr>
          <w:rFonts w:ascii="FangSong" w:hAnsi="FangSong" w:eastAsia="FangSong" w:cs="FangSong"/>
          <w:sz w:val="32"/>
          <w:szCs w:val="32"/>
          <w:spacing w:val="17"/>
        </w:rPr>
        <w:t>福建</w:t>
      </w:r>
    </w:p>
    <w:p>
      <w:pPr>
        <w:sectPr>
          <w:footerReference w:type="default" r:id="rId1"/>
          <w:pgSz w:w="11900" w:h="16820"/>
          <w:pgMar w:top="1429" w:right="592" w:bottom="1515" w:left="1430" w:header="0" w:footer="1197" w:gutter="0"/>
        </w:sectPr>
        <w:rPr/>
      </w:pP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before="101" w:line="601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9"/>
          <w:position w:val="21"/>
        </w:rPr>
        <w:t>省创新战略研究计划联合项目(以下简称“联合项目”)。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0"/>
        </w:rPr>
        <w:t>现将有关事项通知如下：</w:t>
      </w:r>
    </w:p>
    <w:p>
      <w:pPr>
        <w:ind w:left="654"/>
        <w:spacing w:before="214" w:line="221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16"/>
        </w:rPr>
        <w:t>一</w:t>
      </w:r>
      <w:r>
        <w:rPr>
          <w:rFonts w:ascii="SimHei" w:hAnsi="SimHei" w:eastAsia="SimHei" w:cs="SimHei"/>
          <w:sz w:val="31"/>
          <w:szCs w:val="31"/>
          <w:spacing w:val="-73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16"/>
        </w:rPr>
        <w:t>、项目类型和资助额度</w:t>
      </w:r>
    </w:p>
    <w:p>
      <w:pPr>
        <w:ind w:right="91" w:firstLine="649"/>
        <w:spacing w:before="244" w:line="351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4"/>
        </w:rPr>
        <w:t>联合项目计划立项40项，每项资助5万元。联</w:t>
      </w:r>
      <w:r>
        <w:rPr>
          <w:rFonts w:ascii="FangSong" w:hAnsi="FangSong" w:eastAsia="FangSong" w:cs="FangSong"/>
          <w:sz w:val="31"/>
          <w:szCs w:val="31"/>
          <w:spacing w:val="33"/>
        </w:rPr>
        <w:t>合项目经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5"/>
        </w:rPr>
        <w:t>费由省科协负责资助，项目经费从2023年福建省创新驱动助</w:t>
      </w:r>
    </w:p>
    <w:p>
      <w:pPr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9"/>
        </w:rPr>
        <w:t>力工程资金中列支。</w:t>
      </w:r>
    </w:p>
    <w:p>
      <w:pPr>
        <w:ind w:left="654"/>
        <w:spacing w:before="242" w:line="221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9"/>
        </w:rPr>
        <w:t>二</w:t>
      </w:r>
      <w:r>
        <w:rPr>
          <w:rFonts w:ascii="SimHei" w:hAnsi="SimHei" w:eastAsia="SimHei" w:cs="SimHei"/>
          <w:sz w:val="31"/>
          <w:szCs w:val="31"/>
          <w:spacing w:val="-29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9"/>
        </w:rPr>
        <w:t>、支持领域和方向</w:t>
      </w:r>
    </w:p>
    <w:p>
      <w:pPr>
        <w:ind w:left="739"/>
        <w:spacing w:before="25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5"/>
        </w:rPr>
        <w:t>项目题目围绕以下重点方向自行拟定。</w:t>
      </w:r>
    </w:p>
    <w:p>
      <w:pPr>
        <w:ind w:left="649"/>
        <w:spacing w:before="222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9"/>
        </w:rPr>
        <w:t>(一)聚焦福建高质量发展。围绕“六个福建”建设，全</w:t>
      </w:r>
    </w:p>
    <w:p>
      <w:pPr>
        <w:spacing w:before="223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color w:val="294E30"/>
          <w:spacing w:val="28"/>
        </w:rPr>
        <w:t>面做强做优支柱产业，培育壮大战略性新兴产业，包括推动</w:t>
      </w:r>
    </w:p>
    <w:p>
      <w:pPr>
        <w:spacing w:before="233" w:line="600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  <w:position w:val="21"/>
        </w:rPr>
        <w:t>我省重点和支柱产业发展方向与路径，数字福建建设及网络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9"/>
        </w:rPr>
        <w:t>安全，乡村振兴，公共卫生与健康等。</w:t>
      </w:r>
    </w:p>
    <w:p>
      <w:pPr>
        <w:ind w:right="42" w:firstLine="649"/>
        <w:spacing w:before="225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9"/>
        </w:rPr>
        <w:t>(二)聚焦科技经济融合发展。促进各类创新要素向企业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7"/>
        </w:rPr>
        <w:t>集聚，推动产学研深度融合，探索学术与产业并重发展、融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9"/>
        </w:rPr>
        <w:t>合发展、循环发展的路径与方向，包括提升科技自立自强能</w:t>
      </w:r>
    </w:p>
    <w:p>
      <w:pPr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4"/>
        </w:rPr>
        <w:t>力，服务民营企业、中小企业等。</w:t>
      </w:r>
    </w:p>
    <w:p>
      <w:pPr>
        <w:ind w:firstLine="649"/>
        <w:spacing w:before="228" w:line="357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9"/>
        </w:rPr>
        <w:t>(三)聚焦创新人才和创新生态。立足省情，研究创新发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展规律、科技管理规律、人才成长规律，包括靶向引进</w:t>
      </w:r>
      <w:r>
        <w:rPr>
          <w:rFonts w:ascii="FangSong" w:hAnsi="FangSong" w:eastAsia="FangSong" w:cs="FangSong"/>
          <w:sz w:val="31"/>
          <w:szCs w:val="31"/>
          <w:spacing w:val="27"/>
        </w:rPr>
        <w:t>培育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1"/>
        </w:rPr>
        <w:t>“卡脖子”领域核心技术人才和产业发展急需人才，建设开</w:t>
      </w:r>
    </w:p>
    <w:p>
      <w:pPr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</w:rPr>
        <w:t>放创新生态，积极参与全球科技治理等。</w:t>
      </w:r>
    </w:p>
    <w:p>
      <w:pPr>
        <w:ind w:left="649"/>
        <w:spacing w:before="223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0"/>
        </w:rPr>
        <w:t>(四)聚焦科技社团改革发展。发挥桥梁纽带作用，推动</w:t>
      </w:r>
    </w:p>
    <w:p>
      <w:pPr>
        <w:sectPr>
          <w:footerReference w:type="default" r:id="rId3"/>
          <w:pgSz w:w="11900" w:h="16820"/>
          <w:pgMar w:top="1429" w:right="1536" w:bottom="1627" w:left="1489" w:header="0" w:footer="1320" w:gutter="0"/>
        </w:sectPr>
        <w:rPr/>
      </w:pP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ind w:right="23"/>
        <w:spacing w:before="101" w:line="365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9"/>
        </w:rPr>
        <w:t>科技社团改革发展，包括科技社团在深化科技体制</w:t>
      </w:r>
      <w:r>
        <w:rPr>
          <w:rFonts w:ascii="FangSong" w:hAnsi="FangSong" w:eastAsia="FangSong" w:cs="FangSong"/>
          <w:sz w:val="31"/>
          <w:szCs w:val="31"/>
          <w:spacing w:val="28"/>
        </w:rPr>
        <w:t>改革中的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作用、服务创新驱动发展、服务高水平科技自立自强、培育</w:t>
      </w:r>
    </w:p>
    <w:p>
      <w:pPr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</w:rPr>
        <w:t>科技创新文化、弘扬科学家精神、公民科学素质提升等</w:t>
      </w:r>
      <w:r>
        <w:rPr>
          <w:rFonts w:ascii="FangSong" w:hAnsi="FangSong" w:eastAsia="FangSong" w:cs="FangSong"/>
          <w:sz w:val="31"/>
          <w:szCs w:val="31"/>
          <w:spacing w:val="26"/>
        </w:rPr>
        <w:t>。</w:t>
      </w:r>
    </w:p>
    <w:p>
      <w:pPr>
        <w:ind w:left="694"/>
        <w:spacing w:before="234" w:line="222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-1"/>
        </w:rPr>
        <w:t>三</w:t>
      </w:r>
      <w:r>
        <w:rPr>
          <w:rFonts w:ascii="SimHei" w:hAnsi="SimHei" w:eastAsia="SimHei" w:cs="SimHei"/>
          <w:sz w:val="31"/>
          <w:szCs w:val="31"/>
          <w:spacing w:val="-34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-1"/>
        </w:rPr>
        <w:t>、申报条件</w:t>
      </w:r>
    </w:p>
    <w:p>
      <w:pPr>
        <w:ind w:right="20" w:firstLine="770"/>
        <w:spacing w:before="202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4"/>
        </w:rPr>
        <w:t>(</w:t>
      </w:r>
      <w:r>
        <w:rPr>
          <w:rFonts w:ascii="FangSong" w:hAnsi="FangSong" w:eastAsia="FangSong" w:cs="FangSong"/>
          <w:sz w:val="31"/>
          <w:szCs w:val="31"/>
          <w:spacing w:val="-8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4"/>
        </w:rPr>
        <w:t>一)申报单位必须是在闽具有独立法人资格</w:t>
      </w:r>
      <w:r>
        <w:rPr>
          <w:rFonts w:ascii="FangSong" w:hAnsi="FangSong" w:eastAsia="FangSong" w:cs="FangSong"/>
          <w:sz w:val="31"/>
          <w:szCs w:val="31"/>
          <w:spacing w:val="33"/>
        </w:rPr>
        <w:t>的省内本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5"/>
        </w:rPr>
        <w:t>科高校(原本有推荐权限的本科高校，以二级学院或系</w:t>
      </w:r>
      <w:r>
        <w:rPr>
          <w:rFonts w:ascii="FangSong" w:hAnsi="FangSong" w:eastAsia="FangSong" w:cs="FangSong"/>
          <w:sz w:val="31"/>
          <w:szCs w:val="31"/>
          <w:spacing w:val="34"/>
        </w:rPr>
        <w:t>为申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4"/>
        </w:rPr>
        <w:t>报单位)、中直及省属科研院所、省创新实验室、省级医院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9"/>
        </w:rPr>
        <w:t>及省科协所属省级学会(协会、研究会)。不接受个人直接</w:t>
      </w:r>
    </w:p>
    <w:p>
      <w:pPr>
        <w:spacing w:before="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3"/>
        </w:rPr>
        <w:t>申报。推荐单位统一为福建省科学技术协会。</w:t>
      </w:r>
    </w:p>
    <w:p>
      <w:pPr>
        <w:ind w:right="12" w:firstLine="770"/>
        <w:spacing w:before="228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7"/>
        </w:rPr>
        <w:t>(二)申报单位须具有完成项目必备的人才条件和投入</w:t>
      </w:r>
      <w:r>
        <w:rPr>
          <w:rFonts w:ascii="FangSong" w:hAnsi="FangSong" w:eastAsia="FangSong" w:cs="FangSong"/>
          <w:sz w:val="31"/>
          <w:szCs w:val="31"/>
          <w:spacing w:val="1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9"/>
        </w:rPr>
        <w:t>保障。不得有到期未结题的省科技计划项目和省科协创新智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9"/>
        </w:rPr>
        <w:t>库课题研究项目。</w:t>
      </w:r>
    </w:p>
    <w:p>
      <w:pPr>
        <w:ind w:left="770"/>
        <w:spacing w:before="227" w:line="601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7"/>
          <w:position w:val="21"/>
        </w:rPr>
        <w:t>(三)申报单位应当严格按照《福建省科技计划项目经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3"/>
        </w:rPr>
        <w:t>费管理办法》的要求，编制项目经费预算。</w:t>
      </w:r>
    </w:p>
    <w:p>
      <w:pPr>
        <w:ind w:firstLine="770"/>
        <w:spacing w:before="223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7"/>
        </w:rPr>
        <w:t>(四)项目负责人在项目结束时年龄原则上不超过60</w:t>
      </w:r>
      <w:r>
        <w:rPr>
          <w:rFonts w:ascii="FangSong" w:hAnsi="FangSong" w:eastAsia="FangSong" w:cs="FangSong"/>
          <w:sz w:val="31"/>
          <w:szCs w:val="31"/>
          <w:spacing w:val="36"/>
        </w:rPr>
        <w:t>周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9"/>
        </w:rPr>
        <w:t>岁，在相关研究领域具有较高的学术造诣，原则</w:t>
      </w:r>
      <w:r>
        <w:rPr>
          <w:rFonts w:ascii="FangSong" w:hAnsi="FangSong" w:eastAsia="FangSong" w:cs="FangSong"/>
          <w:sz w:val="31"/>
          <w:szCs w:val="31"/>
          <w:spacing w:val="28"/>
        </w:rPr>
        <w:t>上应具有中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9"/>
        </w:rPr>
        <w:t>级及以上职称或硕士及以上学位。项目负责人当年度只能申</w:t>
      </w:r>
      <w:r>
        <w:rPr>
          <w:rFonts w:ascii="FangSong" w:hAnsi="FangSong" w:eastAsia="FangSong" w:cs="FangSong"/>
          <w:sz w:val="31"/>
          <w:szCs w:val="31"/>
          <w:spacing w:val="1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5"/>
        </w:rPr>
        <w:t>请1个省级科技计划项目，不得有在研的省级科技计划项目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2"/>
        </w:rPr>
        <w:t>和省科协创新智库课题研究项目。</w:t>
      </w:r>
    </w:p>
    <w:p>
      <w:pPr>
        <w:sectPr>
          <w:footerReference w:type="default" r:id="rId4"/>
          <w:pgSz w:w="11900" w:h="16820"/>
          <w:pgMar w:top="1429" w:right="1536" w:bottom="1607" w:left="1529" w:header="0" w:footer="1299" w:gutter="0"/>
        </w:sectPr>
        <w:rPr/>
      </w:pP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ind w:right="128" w:firstLine="760"/>
        <w:spacing w:before="100" w:line="359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8"/>
        </w:rPr>
        <w:t>(五)申报单位有合作单位的，应在附件中提交合作协</w:t>
      </w:r>
      <w:r>
        <w:rPr>
          <w:rFonts w:ascii="FangSong" w:hAnsi="FangSong" w:eastAsia="FangSong" w:cs="FangSong"/>
          <w:sz w:val="31"/>
          <w:szCs w:val="31"/>
          <w:spacing w:val="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7"/>
        </w:rPr>
        <w:t>议，协议内容一般包括项目研究开发内容及分工、知识产权</w:t>
      </w:r>
    </w:p>
    <w:p>
      <w:pPr>
        <w:spacing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5"/>
        </w:rPr>
        <w:t>权属、经费筹措及资助资金分配等。</w:t>
      </w:r>
    </w:p>
    <w:p>
      <w:pPr>
        <w:ind w:left="760"/>
        <w:spacing w:before="224" w:line="601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9"/>
          <w:position w:val="21"/>
        </w:rPr>
        <w:t>(六)申报单位应根据支持领域确定的研究方向自行拟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6"/>
        </w:rPr>
        <w:t>定研究题目，技术研发及技术应用研究型课题不得申报。</w:t>
      </w:r>
    </w:p>
    <w:p>
      <w:pPr>
        <w:ind w:right="135" w:firstLine="760"/>
        <w:spacing w:before="227" w:line="35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2"/>
        </w:rPr>
        <w:t>(七)为避免</w:t>
      </w:r>
      <w:r>
        <w:rPr>
          <w:rFonts w:ascii="FangSong" w:hAnsi="FangSong" w:eastAsia="FangSong" w:cs="FangSong"/>
          <w:sz w:val="31"/>
          <w:szCs w:val="31"/>
          <w:spacing w:val="-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2"/>
        </w:rPr>
        <w:t>一</w:t>
      </w:r>
      <w:r>
        <w:rPr>
          <w:rFonts w:ascii="FangSong" w:hAnsi="FangSong" w:eastAsia="FangSong" w:cs="FangSong"/>
          <w:sz w:val="31"/>
          <w:szCs w:val="31"/>
          <w:spacing w:val="-9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2"/>
        </w:rPr>
        <w:t>题多报和重复立项，研究内容已经获得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7"/>
        </w:rPr>
        <w:t>财政资金支持的，不得重复申报；申请同年度中央各部委、</w:t>
      </w:r>
      <w:r>
        <w:rPr>
          <w:rFonts w:ascii="FangSong" w:hAnsi="FangSong" w:eastAsia="FangSong" w:cs="FangSong"/>
          <w:sz w:val="31"/>
          <w:szCs w:val="31"/>
          <w:spacing w:val="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7"/>
        </w:rPr>
        <w:t>省自然科学基金、省级社科类项目的负责人以及课题组成员</w:t>
      </w:r>
    </w:p>
    <w:p>
      <w:pPr>
        <w:spacing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</w:rPr>
        <w:t>不能以内容相同或相近选题申请省创新战略研究联合项目。</w:t>
      </w:r>
    </w:p>
    <w:p>
      <w:pPr>
        <w:ind w:right="126" w:firstLine="760"/>
        <w:spacing w:before="232" w:line="356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8"/>
        </w:rPr>
        <w:t>(八)项目牵头申报单位、项目负责人及课题组成员不</w:t>
      </w:r>
      <w:r>
        <w:rPr>
          <w:rFonts w:ascii="FangSong" w:hAnsi="FangSong" w:eastAsia="FangSong" w:cs="FangSong"/>
          <w:sz w:val="31"/>
          <w:szCs w:val="31"/>
          <w:spacing w:val="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得是失信被执行人，不得是列入项目管理严重失信行为记录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名单且取消申报资格处罚时限未到期。申报单位及项目负</w:t>
      </w:r>
      <w:r>
        <w:rPr>
          <w:rFonts w:ascii="FangSong" w:hAnsi="FangSong" w:eastAsia="FangSong" w:cs="FangSong"/>
          <w:sz w:val="31"/>
          <w:szCs w:val="31"/>
          <w:spacing w:val="27"/>
        </w:rPr>
        <w:t>责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人应保证所提供申报项目信息的真实性，并对虚假信息导致</w:t>
      </w:r>
    </w:p>
    <w:p>
      <w:pPr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1"/>
        </w:rPr>
        <w:t>的后果承担责任。</w:t>
      </w:r>
    </w:p>
    <w:p>
      <w:pPr>
        <w:ind w:left="724"/>
        <w:spacing w:before="214" w:line="600" w:lineRule="exact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position w:val="21"/>
        </w:rPr>
        <w:t>四、</w:t>
      </w:r>
      <w:r>
        <w:rPr>
          <w:rFonts w:ascii="SimHei" w:hAnsi="SimHei" w:eastAsia="SimHei" w:cs="SimHei"/>
          <w:sz w:val="31"/>
          <w:szCs w:val="31"/>
          <w:spacing w:val="-36"/>
          <w:position w:val="21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position w:val="21"/>
        </w:rPr>
        <w:t>申报推荐</w:t>
      </w:r>
    </w:p>
    <w:p>
      <w:pPr>
        <w:ind w:left="834"/>
        <w:spacing w:before="1" w:line="227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-32"/>
        </w:rPr>
        <w:t>(</w:t>
      </w:r>
      <w:r>
        <w:rPr>
          <w:rFonts w:ascii="KaiTi" w:hAnsi="KaiTi" w:eastAsia="KaiTi" w:cs="KaiTi"/>
          <w:sz w:val="31"/>
          <w:szCs w:val="31"/>
          <w:spacing w:val="-44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32"/>
        </w:rPr>
        <w:t>一</w:t>
      </w:r>
      <w:r>
        <w:rPr>
          <w:rFonts w:ascii="KaiTi" w:hAnsi="KaiTi" w:eastAsia="KaiTi" w:cs="KaiTi"/>
          <w:sz w:val="31"/>
          <w:szCs w:val="31"/>
          <w:spacing w:val="-54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32"/>
        </w:rPr>
        <w:t>)</w:t>
      </w:r>
      <w:r>
        <w:rPr>
          <w:rFonts w:ascii="KaiTi" w:hAnsi="KaiTi" w:eastAsia="KaiTi" w:cs="KaiTi"/>
          <w:sz w:val="31"/>
          <w:szCs w:val="31"/>
          <w:spacing w:val="-13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32"/>
        </w:rPr>
        <w:t>申</w:t>
      </w:r>
      <w:r>
        <w:rPr>
          <w:rFonts w:ascii="KaiTi" w:hAnsi="KaiTi" w:eastAsia="KaiTi" w:cs="KaiTi"/>
          <w:sz w:val="31"/>
          <w:szCs w:val="31"/>
          <w:spacing w:val="-54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32"/>
        </w:rPr>
        <w:t>报</w:t>
      </w:r>
    </w:p>
    <w:p>
      <w:pPr>
        <w:ind w:right="93" w:firstLine="719"/>
        <w:spacing w:before="236" w:line="356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8"/>
        </w:rPr>
        <w:t>联合项目采取网上申报方式。申报单位注册登录福建省</w:t>
      </w:r>
      <w:r>
        <w:rPr>
          <w:rFonts w:ascii="FangSong" w:hAnsi="FangSong" w:eastAsia="FangSong" w:cs="FangSong"/>
          <w:sz w:val="31"/>
          <w:szCs w:val="31"/>
          <w:spacing w:val="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科技计划项目管理系统(</w:t>
      </w:r>
      <w:r>
        <w:rPr>
          <w:rFonts w:ascii="FangSong" w:hAnsi="FangSong" w:eastAsia="FangSong" w:cs="FangSong"/>
          <w:sz w:val="31"/>
          <w:szCs w:val="31"/>
        </w:rPr>
        <w:t>http</w:t>
      </w:r>
      <w:r>
        <w:rPr>
          <w:rFonts w:ascii="FangSong" w:hAnsi="FangSong" w:eastAsia="FangSong" w:cs="FangSong"/>
          <w:sz w:val="31"/>
          <w:szCs w:val="31"/>
          <w:spacing w:val="18"/>
        </w:rPr>
        <w:t>:/</w:t>
      </w:r>
      <w:r>
        <w:rPr>
          <w:rFonts w:ascii="FangSong" w:hAnsi="FangSong" w:eastAsia="FangSong" w:cs="FangSong"/>
          <w:sz w:val="31"/>
          <w:szCs w:val="31"/>
        </w:rPr>
        <w:t>xmgl</w:t>
      </w:r>
      <w:r>
        <w:rPr>
          <w:rFonts w:ascii="FangSong" w:hAnsi="FangSong" w:eastAsia="FangSong" w:cs="FangSong"/>
          <w:sz w:val="31"/>
          <w:szCs w:val="31"/>
          <w:spacing w:val="18"/>
        </w:rPr>
        <w:t>.</w:t>
      </w:r>
      <w:r>
        <w:rPr>
          <w:rFonts w:ascii="FangSong" w:hAnsi="FangSong" w:eastAsia="FangSong" w:cs="FangSong"/>
          <w:sz w:val="31"/>
          <w:szCs w:val="31"/>
        </w:rPr>
        <w:t>kjt</w:t>
      </w:r>
      <w:r>
        <w:rPr>
          <w:rFonts w:ascii="FangSong" w:hAnsi="FangSong" w:eastAsia="FangSong" w:cs="FangSong"/>
          <w:sz w:val="31"/>
          <w:szCs w:val="31"/>
          <w:spacing w:val="18"/>
        </w:rPr>
        <w:t>.</w:t>
      </w:r>
      <w:r>
        <w:rPr>
          <w:rFonts w:ascii="FangSong" w:hAnsi="FangSong" w:eastAsia="FangSong" w:cs="FangSong"/>
          <w:sz w:val="31"/>
          <w:szCs w:val="31"/>
        </w:rPr>
        <w:t>fujian</w:t>
      </w:r>
      <w:r>
        <w:rPr>
          <w:rFonts w:ascii="FangSong" w:hAnsi="FangSong" w:eastAsia="FangSong" w:cs="FangSong"/>
          <w:sz w:val="31"/>
          <w:szCs w:val="31"/>
          <w:spacing w:val="18"/>
        </w:rPr>
        <w:t>.</w:t>
      </w:r>
      <w:r>
        <w:rPr>
          <w:rFonts w:ascii="FangSong" w:hAnsi="FangSong" w:eastAsia="FangSong" w:cs="FangSong"/>
          <w:sz w:val="31"/>
          <w:szCs w:val="31"/>
        </w:rPr>
        <w:t>gov</w:t>
      </w:r>
      <w:r>
        <w:rPr>
          <w:rFonts w:ascii="FangSong" w:hAnsi="FangSong" w:eastAsia="FangSong" w:cs="FangSong"/>
          <w:sz w:val="31"/>
          <w:szCs w:val="31"/>
          <w:spacing w:val="18"/>
        </w:rPr>
        <w:t>.</w:t>
      </w:r>
      <w:r>
        <w:rPr>
          <w:rFonts w:ascii="FangSong" w:hAnsi="FangSong" w:eastAsia="FangSong" w:cs="FangSong"/>
          <w:sz w:val="31"/>
          <w:szCs w:val="31"/>
        </w:rPr>
        <w:t>cn</w:t>
      </w:r>
      <w:r>
        <w:rPr>
          <w:rFonts w:ascii="FangSong" w:hAnsi="FangSong" w:eastAsia="FangSong" w:cs="FangSong"/>
          <w:sz w:val="31"/>
          <w:szCs w:val="31"/>
          <w:spacing w:val="18"/>
        </w:rPr>
        <w:t>)—</w:t>
      </w:r>
      <w:r>
        <w:rPr>
          <w:rFonts w:ascii="FangSong" w:hAnsi="FangSong" w:eastAsia="FangSong" w:cs="FangSong"/>
          <w:sz w:val="31"/>
          <w:szCs w:val="31"/>
          <w:spacing w:val="-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8"/>
        </w:rPr>
        <w:t>申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报管理</w:t>
      </w:r>
      <w:r>
        <w:rPr>
          <w:rFonts w:ascii="FangSong" w:hAnsi="FangSong" w:eastAsia="FangSong" w:cs="FangSong"/>
          <w:sz w:val="31"/>
          <w:szCs w:val="31"/>
          <w:spacing w:val="-10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—</w:t>
      </w:r>
      <w:r>
        <w:rPr>
          <w:rFonts w:ascii="FangSong" w:hAnsi="FangSong" w:eastAsia="FangSong" w:cs="FangSong"/>
          <w:sz w:val="31"/>
          <w:szCs w:val="31"/>
          <w:spacing w:val="-10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增加项目申请书</w:t>
      </w:r>
      <w:r>
        <w:rPr>
          <w:rFonts w:ascii="FangSong" w:hAnsi="FangSong" w:eastAsia="FangSong" w:cs="FangSong"/>
          <w:sz w:val="31"/>
          <w:szCs w:val="31"/>
          <w:spacing w:val="-1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—</w:t>
      </w:r>
      <w:r>
        <w:rPr>
          <w:rFonts w:ascii="FangSong" w:hAnsi="FangSong" w:eastAsia="FangSong" w:cs="FangSong"/>
          <w:sz w:val="31"/>
          <w:szCs w:val="31"/>
          <w:spacing w:val="-100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1"/>
        </w:rPr>
        <w:t>选择“创新战略研究项目”及对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2"/>
        </w:rPr>
        <w:t>应申报指南代码</w:t>
      </w:r>
      <w:r>
        <w:rPr>
          <w:rFonts w:ascii="FangSong" w:hAnsi="FangSong" w:eastAsia="FangSong" w:cs="FangSong"/>
          <w:sz w:val="31"/>
          <w:szCs w:val="31"/>
          <w:spacing w:val="-10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2"/>
        </w:rPr>
        <w:t>—</w:t>
      </w:r>
      <w:r>
        <w:rPr>
          <w:rFonts w:ascii="FangSong" w:hAnsi="FangSong" w:eastAsia="FangSong" w:cs="FangSong"/>
          <w:sz w:val="31"/>
          <w:szCs w:val="31"/>
          <w:spacing w:val="-10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2"/>
        </w:rPr>
        <w:t>填报申请书</w:t>
      </w:r>
      <w:r>
        <w:rPr>
          <w:rFonts w:ascii="FangSong" w:hAnsi="FangSong" w:eastAsia="FangSong" w:cs="FangSong"/>
          <w:sz w:val="31"/>
          <w:szCs w:val="31"/>
          <w:spacing w:val="-1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2"/>
        </w:rPr>
        <w:t>—</w:t>
      </w:r>
      <w:r>
        <w:rPr>
          <w:rFonts w:ascii="FangSong" w:hAnsi="FangSong" w:eastAsia="FangSong" w:cs="FangSong"/>
          <w:sz w:val="31"/>
          <w:szCs w:val="31"/>
          <w:spacing w:val="-10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2"/>
        </w:rPr>
        <w:t>上传附件。推荐单位统一选</w:t>
      </w:r>
    </w:p>
    <w:p>
      <w:pPr>
        <w:spacing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</w:rPr>
        <w:t>择福建省科学技术协会。申报截止时间为2023年7月3</w:t>
      </w:r>
      <w:r>
        <w:rPr>
          <w:rFonts w:ascii="FangSong" w:hAnsi="FangSong" w:eastAsia="FangSong" w:cs="FangSong"/>
          <w:sz w:val="31"/>
          <w:szCs w:val="31"/>
          <w:spacing w:val="26"/>
        </w:rPr>
        <w:t>1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6"/>
        </w:rPr>
        <w:t>日</w:t>
      </w:r>
      <w:r>
        <w:rPr>
          <w:rFonts w:ascii="FangSong" w:hAnsi="FangSong" w:eastAsia="FangSong" w:cs="FangSong"/>
          <w:sz w:val="31"/>
          <w:szCs w:val="31"/>
          <w:spacing w:val="-7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6"/>
        </w:rPr>
        <w:t>。</w:t>
      </w:r>
    </w:p>
    <w:p>
      <w:pPr>
        <w:sectPr>
          <w:footerReference w:type="default" r:id="rId5"/>
          <w:pgSz w:w="11900" w:h="16820"/>
          <w:pgMar w:top="1429" w:right="1454" w:bottom="1607" w:left="1509" w:header="0" w:footer="1300" w:gutter="0"/>
        </w:sectPr>
        <w:rPr/>
      </w:pPr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spacing w:line="281" w:lineRule="auto"/>
        <w:rPr>
          <w:rFonts w:ascii="Arial"/>
          <w:sz w:val="21"/>
        </w:rPr>
      </w:pPr>
      <w:r/>
    </w:p>
    <w:p>
      <w:pPr>
        <w:ind w:right="136" w:firstLine="669"/>
        <w:spacing w:before="100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9"/>
        </w:rPr>
        <w:t>申报单位在线打印申请书一</w:t>
      </w:r>
      <w:r>
        <w:rPr>
          <w:rFonts w:ascii="FangSong" w:hAnsi="FangSong" w:eastAsia="FangSong" w:cs="FangSong"/>
          <w:sz w:val="31"/>
          <w:szCs w:val="31"/>
          <w:spacing w:val="-79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9"/>
        </w:rPr>
        <w:t>式3份，寄送省科协学会学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0"/>
        </w:rPr>
        <w:t>术部。申报单位须附1</w:t>
      </w:r>
      <w:r>
        <w:rPr>
          <w:rFonts w:ascii="FangSong" w:hAnsi="FangSong" w:eastAsia="FangSong" w:cs="FangSong"/>
          <w:sz w:val="31"/>
          <w:szCs w:val="31"/>
          <w:spacing w:val="-6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0"/>
        </w:rPr>
        <w:t>份加盖公章的纸质汇总表。</w:t>
      </w:r>
      <w:r>
        <w:rPr>
          <w:rFonts w:ascii="FangSong" w:hAnsi="FangSong" w:eastAsia="FangSong" w:cs="FangSong"/>
          <w:sz w:val="31"/>
          <w:szCs w:val="31"/>
          <w:spacing w:val="29"/>
        </w:rPr>
        <w:t>申报单位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5"/>
        </w:rPr>
        <w:t>为本科高校二级院系、省级医院的主管部门为本科高校的，</w:t>
      </w:r>
    </w:p>
    <w:p>
      <w:pPr>
        <w:ind w:right="46"/>
        <w:spacing w:before="227" w:line="35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9"/>
        </w:rPr>
        <w:t>由主管部门统一报送。申报单位为省级学会(协会、研究会)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2"/>
        </w:rPr>
        <w:t>的，须附1份项目负责人所在单位的推荐信。汇总表中须注</w:t>
      </w:r>
      <w:r>
        <w:rPr>
          <w:rFonts w:ascii="FangSong" w:hAnsi="FangSong" w:eastAsia="FangSong" w:cs="FangSong"/>
          <w:sz w:val="31"/>
          <w:szCs w:val="31"/>
          <w:spacing w:val="12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5"/>
        </w:rPr>
        <w:t>明各项目是否接受立项落选后转为福建省科协“2023年科技</w:t>
      </w:r>
      <w:r>
        <w:rPr>
          <w:rFonts w:ascii="FangSong" w:hAnsi="FangSong" w:eastAsia="FangSong" w:cs="FangSong"/>
          <w:sz w:val="31"/>
          <w:szCs w:val="31"/>
          <w:spacing w:val="1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5"/>
        </w:rPr>
        <w:t>创新智库课题研究项目”</w:t>
      </w:r>
      <w:r>
        <w:rPr>
          <w:rFonts w:ascii="FangSong" w:hAnsi="FangSong" w:eastAsia="FangSong" w:cs="FangSong"/>
          <w:sz w:val="31"/>
          <w:szCs w:val="31"/>
          <w:spacing w:val="-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5"/>
        </w:rPr>
        <w:t>(未注明的视为不同意接受)。申</w:t>
      </w:r>
    </w:p>
    <w:p>
      <w:pPr>
        <w:spacing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1"/>
        </w:rPr>
        <w:t>请材料寄送截止日期为2023年8月4日，逾期不予受理。</w:t>
      </w:r>
    </w:p>
    <w:p>
      <w:pPr>
        <w:ind w:left="814"/>
        <w:spacing w:before="239" w:line="227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b/>
          <w:bCs/>
          <w:spacing w:val="-17"/>
          <w:w w:val="96"/>
        </w:rPr>
        <w:t>(</w:t>
      </w:r>
      <w:r>
        <w:rPr>
          <w:rFonts w:ascii="KaiTi" w:hAnsi="KaiTi" w:eastAsia="KaiTi" w:cs="KaiTi"/>
          <w:sz w:val="31"/>
          <w:szCs w:val="31"/>
          <w:spacing w:val="-48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17"/>
          <w:w w:val="96"/>
        </w:rPr>
        <w:t>二</w:t>
      </w:r>
      <w:r>
        <w:rPr>
          <w:rFonts w:ascii="KaiTi" w:hAnsi="KaiTi" w:eastAsia="KaiTi" w:cs="KaiTi"/>
          <w:sz w:val="31"/>
          <w:szCs w:val="31"/>
          <w:spacing w:val="-63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17"/>
          <w:w w:val="96"/>
        </w:rPr>
        <w:t>)</w:t>
      </w:r>
      <w:r>
        <w:rPr>
          <w:rFonts w:ascii="KaiTi" w:hAnsi="KaiTi" w:eastAsia="KaiTi" w:cs="KaiTi"/>
          <w:sz w:val="31"/>
          <w:szCs w:val="31"/>
          <w:spacing w:val="-54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17"/>
          <w:w w:val="96"/>
        </w:rPr>
        <w:t>推</w:t>
      </w:r>
      <w:r>
        <w:rPr>
          <w:rFonts w:ascii="KaiTi" w:hAnsi="KaiTi" w:eastAsia="KaiTi" w:cs="KaiTi"/>
          <w:sz w:val="31"/>
          <w:szCs w:val="31"/>
          <w:spacing w:val="-62"/>
        </w:rPr>
        <w:t xml:space="preserve"> </w:t>
      </w:r>
      <w:r>
        <w:rPr>
          <w:rFonts w:ascii="KaiTi" w:hAnsi="KaiTi" w:eastAsia="KaiTi" w:cs="KaiTi"/>
          <w:sz w:val="31"/>
          <w:szCs w:val="31"/>
          <w:b/>
          <w:bCs/>
          <w:spacing w:val="-17"/>
          <w:w w:val="96"/>
        </w:rPr>
        <w:t>荐</w:t>
      </w:r>
    </w:p>
    <w:p>
      <w:pPr>
        <w:ind w:firstLine="669"/>
        <w:spacing w:before="208" w:line="358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6"/>
        </w:rPr>
        <w:t>省科协负责对申报材料进行初评，推荐60个项目参加立</w:t>
      </w:r>
      <w:r>
        <w:rPr>
          <w:rFonts w:ascii="FangSong" w:hAnsi="FangSong" w:eastAsia="FangSong" w:cs="FangSong"/>
          <w:sz w:val="31"/>
          <w:szCs w:val="31"/>
          <w:spacing w:val="1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5"/>
        </w:rPr>
        <w:t>项评审。同时将推荐函、项目汇总表纸质件(格式下载网址：</w:t>
      </w:r>
      <w:r>
        <w:rPr>
          <w:rFonts w:ascii="FangSong" w:hAnsi="FangSong" w:eastAsia="FangSong" w:cs="FangSong"/>
          <w:sz w:val="31"/>
          <w:szCs w:val="31"/>
          <w:spacing w:val="14"/>
        </w:rPr>
        <w:t xml:space="preserve"> </w:t>
      </w:r>
      <w:hyperlink w:history="true" r:id="rId7">
        <w:r>
          <w:rPr>
            <w:rFonts w:ascii="FangSong" w:hAnsi="FangSong" w:eastAsia="FangSong" w:cs="FangSong"/>
            <w:sz w:val="31"/>
            <w:szCs w:val="31"/>
          </w:rPr>
          <w:t>http</w:t>
        </w:r>
        <w:r>
          <w:rPr>
            <w:rFonts w:ascii="FangSong" w:hAnsi="FangSong" w:eastAsia="FangSong" w:cs="FangSong"/>
            <w:sz w:val="31"/>
            <w:szCs w:val="31"/>
            <w:spacing w:val="6"/>
          </w:rPr>
          <w:t>://</w:t>
        </w:r>
        <w:r>
          <w:rPr>
            <w:rFonts w:ascii="FangSong" w:hAnsi="FangSong" w:eastAsia="FangSong" w:cs="FangSong"/>
            <w:sz w:val="31"/>
            <w:szCs w:val="31"/>
          </w:rPr>
          <w:t>xmgl</w:t>
        </w:r>
        <w:r>
          <w:rPr>
            <w:rFonts w:ascii="FangSong" w:hAnsi="FangSong" w:eastAsia="FangSong" w:cs="FangSong"/>
            <w:sz w:val="31"/>
            <w:szCs w:val="31"/>
            <w:spacing w:val="6"/>
          </w:rPr>
          <w:t>.</w:t>
        </w:r>
        <w:r>
          <w:rPr>
            <w:rFonts w:ascii="FangSong" w:hAnsi="FangSong" w:eastAsia="FangSong" w:cs="FangSong"/>
            <w:sz w:val="31"/>
            <w:szCs w:val="31"/>
          </w:rPr>
          <w:t>kjt</w:t>
        </w:r>
        <w:r>
          <w:rPr>
            <w:rFonts w:ascii="FangSong" w:hAnsi="FangSong" w:eastAsia="FangSong" w:cs="FangSong"/>
            <w:sz w:val="31"/>
            <w:szCs w:val="31"/>
            <w:spacing w:val="6"/>
          </w:rPr>
          <w:t>.</w:t>
        </w:r>
        <w:r>
          <w:rPr>
            <w:rFonts w:ascii="FangSong" w:hAnsi="FangSong" w:eastAsia="FangSong" w:cs="FangSong"/>
            <w:sz w:val="31"/>
            <w:szCs w:val="31"/>
          </w:rPr>
          <w:t>fujian</w:t>
        </w:r>
        <w:r>
          <w:rPr>
            <w:rFonts w:ascii="FangSong" w:hAnsi="FangSong" w:eastAsia="FangSong" w:cs="FangSong"/>
            <w:sz w:val="31"/>
            <w:szCs w:val="31"/>
            <w:spacing w:val="6"/>
          </w:rPr>
          <w:t>.</w:t>
        </w:r>
        <w:r>
          <w:rPr>
            <w:rFonts w:ascii="FangSong" w:hAnsi="FangSong" w:eastAsia="FangSong" w:cs="FangSong"/>
            <w:sz w:val="31"/>
            <w:szCs w:val="31"/>
          </w:rPr>
          <w:t>gov</w:t>
        </w:r>
        <w:r>
          <w:rPr>
            <w:rFonts w:ascii="FangSong" w:hAnsi="FangSong" w:eastAsia="FangSong" w:cs="FangSong"/>
            <w:sz w:val="31"/>
            <w:szCs w:val="31"/>
            <w:spacing w:val="6"/>
          </w:rPr>
          <w:t>.</w:t>
        </w:r>
        <w:r>
          <w:rPr>
            <w:rFonts w:ascii="FangSong" w:hAnsi="FangSong" w:eastAsia="FangSong" w:cs="FangSong"/>
            <w:sz w:val="31"/>
            <w:szCs w:val="31"/>
          </w:rPr>
          <w:t>cn</w:t>
        </w:r>
      </w:hyperlink>
      <w:r>
        <w:rPr>
          <w:rFonts w:ascii="FangSong" w:hAnsi="FangSong" w:eastAsia="FangSong" w:cs="FangSong"/>
          <w:sz w:val="31"/>
          <w:szCs w:val="31"/>
          <w:spacing w:val="6"/>
        </w:rPr>
        <w:t>)</w:t>
      </w:r>
      <w:r>
        <w:rPr>
          <w:rFonts w:ascii="FangSong" w:hAnsi="FangSong" w:eastAsia="FangSong" w:cs="FangSong"/>
          <w:sz w:val="31"/>
          <w:szCs w:val="31"/>
          <w:spacing w:val="-58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一</w:t>
      </w:r>
      <w:r>
        <w:rPr>
          <w:rFonts w:ascii="FangSong" w:hAnsi="FangSong" w:eastAsia="FangSong" w:cs="FangSong"/>
          <w:sz w:val="31"/>
          <w:szCs w:val="31"/>
          <w:spacing w:val="-83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式</w:t>
      </w:r>
      <w:r>
        <w:rPr>
          <w:rFonts w:ascii="FangSong" w:hAnsi="FangSong" w:eastAsia="FangSong" w:cs="FangSong"/>
          <w:sz w:val="31"/>
          <w:szCs w:val="31"/>
          <w:spacing w:val="-8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一</w:t>
      </w:r>
      <w:r>
        <w:rPr>
          <w:rFonts w:ascii="FangSong" w:hAnsi="FangSong" w:eastAsia="FangSong" w:cs="FangSong"/>
          <w:sz w:val="31"/>
          <w:szCs w:val="31"/>
          <w:spacing w:val="-9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6"/>
        </w:rPr>
        <w:t>份寄送省科技厅发展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33"/>
        </w:rPr>
        <w:t>规划与政策法规处(项目申请书及相关附件纸质材料无需报</w:t>
      </w:r>
    </w:p>
    <w:p>
      <w:pPr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50"/>
        </w:rPr>
        <w:t>送)。推荐截止时间为2023年9月15日。</w:t>
      </w:r>
    </w:p>
    <w:p>
      <w:pPr>
        <w:ind w:left="674"/>
        <w:spacing w:before="213" w:line="222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13"/>
        </w:rPr>
        <w:t>五、</w:t>
      </w:r>
      <w:r>
        <w:rPr>
          <w:rFonts w:ascii="SimHei" w:hAnsi="SimHei" w:eastAsia="SimHei" w:cs="SimHei"/>
          <w:sz w:val="31"/>
          <w:szCs w:val="31"/>
          <w:spacing w:val="-40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13"/>
        </w:rPr>
        <w:t>项目经费管理与结题要求</w:t>
      </w:r>
    </w:p>
    <w:p>
      <w:pPr>
        <w:ind w:left="770"/>
        <w:spacing w:before="236" w:line="22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29"/>
        </w:rPr>
        <w:t>(</w:t>
      </w:r>
      <w:r>
        <w:rPr>
          <w:rFonts w:ascii="KaiTi" w:hAnsi="KaiTi" w:eastAsia="KaiTi" w:cs="KaiTi"/>
          <w:sz w:val="31"/>
          <w:szCs w:val="31"/>
          <w:spacing w:val="-75"/>
        </w:rPr>
        <w:t xml:space="preserve"> </w:t>
      </w:r>
      <w:r>
        <w:rPr>
          <w:rFonts w:ascii="KaiTi" w:hAnsi="KaiTi" w:eastAsia="KaiTi" w:cs="KaiTi"/>
          <w:sz w:val="31"/>
          <w:szCs w:val="31"/>
          <w:spacing w:val="29"/>
        </w:rPr>
        <w:t>一</w:t>
      </w:r>
      <w:r>
        <w:rPr>
          <w:rFonts w:ascii="KaiTi" w:hAnsi="KaiTi" w:eastAsia="KaiTi" w:cs="KaiTi"/>
          <w:sz w:val="31"/>
          <w:szCs w:val="31"/>
          <w:spacing w:val="-88"/>
        </w:rPr>
        <w:t xml:space="preserve"> </w:t>
      </w:r>
      <w:r>
        <w:rPr>
          <w:rFonts w:ascii="KaiTi" w:hAnsi="KaiTi" w:eastAsia="KaiTi" w:cs="KaiTi"/>
          <w:sz w:val="31"/>
          <w:szCs w:val="31"/>
          <w:spacing w:val="29"/>
        </w:rPr>
        <w:t>)项目经费管理</w:t>
      </w:r>
    </w:p>
    <w:p>
      <w:pPr>
        <w:ind w:right="116" w:firstLine="669"/>
        <w:spacing w:before="218" w:line="358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</w:rPr>
        <w:t>立项后，项目承担单位应根据任务书要求按时完成项目</w:t>
      </w:r>
      <w:r>
        <w:rPr>
          <w:rFonts w:ascii="FangSong" w:hAnsi="FangSong" w:eastAsia="FangSong" w:cs="FangSong"/>
          <w:sz w:val="31"/>
          <w:szCs w:val="31"/>
          <w:spacing w:val="7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28"/>
        </w:rPr>
        <w:t>研究。其中，任务书考核内容与指标不得低于申请书，否则</w:t>
      </w:r>
    </w:p>
    <w:p>
      <w:pPr>
        <w:spacing w:before="1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6"/>
        </w:rPr>
        <w:t>视同放弃立项。项目由省科协和省科技厅共同</w:t>
      </w:r>
      <w:r>
        <w:rPr>
          <w:rFonts w:ascii="FangSong" w:hAnsi="FangSong" w:eastAsia="FangSong" w:cs="FangSong"/>
          <w:sz w:val="31"/>
          <w:szCs w:val="31"/>
          <w:spacing w:val="25"/>
        </w:rPr>
        <w:t>组织验收。</w:t>
      </w:r>
    </w:p>
    <w:p>
      <w:pPr>
        <w:ind w:left="669"/>
        <w:spacing w:before="202" w:line="612" w:lineRule="exact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7"/>
          <w:position w:val="22"/>
        </w:rPr>
        <w:t>如项目承担单位或项目负责人在研究过程中，发生学术</w:t>
      </w:r>
    </w:p>
    <w:p>
      <w:pPr>
        <w:spacing w:before="1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6"/>
        </w:rPr>
        <w:t>不端、严重违约等行为，将视情节轻重采取通告主管单位、</w:t>
      </w:r>
    </w:p>
    <w:p>
      <w:pPr>
        <w:sectPr>
          <w:footerReference w:type="default" r:id="rId6"/>
          <w:pgSz w:w="11900" w:h="16820"/>
          <w:pgMar w:top="1429" w:right="1454" w:bottom="1605" w:left="1539" w:header="0" w:footer="1299" w:gutter="0"/>
        </w:sectPr>
        <w:rPr/>
      </w:pP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ind w:left="19"/>
        <w:spacing w:before="104" w:line="589" w:lineRule="exact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25"/>
          <w:position w:val="19"/>
        </w:rPr>
        <w:t>追缴项目经费、撤销项目等措施，3年内不再接受该单</w:t>
      </w:r>
      <w:r>
        <w:rPr>
          <w:rFonts w:ascii="FangSong" w:hAnsi="FangSong" w:eastAsia="FangSong" w:cs="FangSong"/>
          <w:sz w:val="32"/>
          <w:szCs w:val="32"/>
          <w:spacing w:val="24"/>
          <w:position w:val="19"/>
        </w:rPr>
        <w:t>位或</w:t>
      </w:r>
    </w:p>
    <w:p>
      <w:pPr>
        <w:ind w:left="19"/>
        <w:spacing w:line="22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7"/>
        </w:rPr>
        <w:t>个人的课题申请。出现违纪违法行为，按相关规定处理。</w:t>
      </w:r>
    </w:p>
    <w:p>
      <w:pPr>
        <w:ind w:left="709"/>
        <w:spacing w:before="243" w:line="610" w:lineRule="exact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spacing w:val="20"/>
          <w:position w:val="21"/>
        </w:rPr>
        <w:t>项目经费参照《福建省级科技计划项目经费管理办法》</w:t>
      </w:r>
    </w:p>
    <w:p>
      <w:pPr>
        <w:ind w:left="19"/>
        <w:spacing w:before="1" w:line="218" w:lineRule="auto"/>
        <w:rPr>
          <w:rFonts w:ascii="SimSun" w:hAnsi="SimSun" w:eastAsia="SimSun" w:cs="SimSun"/>
          <w:sz w:val="32"/>
          <w:szCs w:val="32"/>
        </w:rPr>
      </w:pPr>
      <w:r>
        <w:rPr>
          <w:rFonts w:ascii="SimSun" w:hAnsi="SimSun" w:eastAsia="SimSun" w:cs="SimSun"/>
          <w:sz w:val="32"/>
          <w:szCs w:val="32"/>
          <w:spacing w:val="10"/>
        </w:rPr>
        <w:t>(闽科规〔2022〕8号)执行。</w:t>
      </w:r>
    </w:p>
    <w:p>
      <w:pPr>
        <w:ind w:left="794"/>
        <w:spacing w:before="188" w:line="228" w:lineRule="auto"/>
        <w:rPr>
          <w:rFonts w:ascii="KaiTi" w:hAnsi="KaiTi" w:eastAsia="KaiTi" w:cs="KaiTi"/>
          <w:sz w:val="32"/>
          <w:szCs w:val="32"/>
        </w:rPr>
      </w:pPr>
      <w:r>
        <w:rPr>
          <w:rFonts w:ascii="KaiTi" w:hAnsi="KaiTi" w:eastAsia="KaiTi" w:cs="KaiTi"/>
          <w:sz w:val="32"/>
          <w:szCs w:val="32"/>
          <w:b/>
          <w:bCs/>
          <w:spacing w:val="40"/>
        </w:rPr>
        <w:t>(二)结题要求</w:t>
      </w:r>
    </w:p>
    <w:p>
      <w:pPr>
        <w:ind w:left="19" w:firstLine="679"/>
        <w:spacing w:before="201" w:line="347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  <w:b/>
          <w:bCs/>
          <w:spacing w:val="14"/>
        </w:rPr>
        <w:t>1.</w:t>
      </w:r>
      <w:r>
        <w:rPr>
          <w:rFonts w:ascii="Times New Roman" w:hAnsi="Times New Roman" w:eastAsia="Times New Roman" w:cs="Times New Roman"/>
          <w:sz w:val="32"/>
          <w:szCs w:val="32"/>
          <w:spacing w:val="20"/>
          <w:w w:val="101"/>
        </w:rPr>
        <w:t xml:space="preserve"> </w:t>
      </w:r>
      <w:r>
        <w:rPr>
          <w:rFonts w:ascii="KaiTi" w:hAnsi="KaiTi" w:eastAsia="KaiTi" w:cs="KaiTi"/>
          <w:sz w:val="32"/>
          <w:szCs w:val="32"/>
          <w:b/>
          <w:bCs/>
          <w:spacing w:val="14"/>
        </w:rPr>
        <w:t>结题材料要求</w:t>
      </w:r>
      <w:r>
        <w:rPr>
          <w:rFonts w:ascii="KaiTi" w:hAnsi="KaiTi" w:eastAsia="KaiTi" w:cs="KaiTi"/>
          <w:sz w:val="32"/>
          <w:szCs w:val="32"/>
          <w:spacing w:val="14"/>
        </w:rPr>
        <w:t>。(1)研究报告：思路清晰，材料翔实，</w:t>
      </w:r>
      <w:r>
        <w:rPr>
          <w:rFonts w:ascii="KaiTi" w:hAnsi="KaiTi" w:eastAsia="KaiTi" w:cs="KaiTi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8"/>
        </w:rPr>
        <w:t>数据可靠，观点明确，内容新颖且具有一定的实践价值和社</w:t>
      </w:r>
      <w:r>
        <w:rPr>
          <w:rFonts w:ascii="FangSong" w:hAnsi="FangSong" w:eastAsia="FangSong" w:cs="FangSong"/>
          <w:sz w:val="32"/>
          <w:szCs w:val="32"/>
          <w:spacing w:val="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9"/>
        </w:rPr>
        <w:t>会意义，2万字以上。</w:t>
      </w:r>
      <w:r>
        <w:rPr>
          <w:rFonts w:ascii="FangSong" w:hAnsi="FangSong" w:eastAsia="FangSong" w:cs="FangSong"/>
          <w:sz w:val="32"/>
          <w:szCs w:val="32"/>
          <w:spacing w:val="155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9"/>
        </w:rPr>
        <w:t>(2)对策建议以“基本现状、主要问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8"/>
        </w:rPr>
        <w:t>题、对策建议”为参考框架，重点阐述对策建议部分，且须</w:t>
      </w:r>
      <w:r>
        <w:rPr>
          <w:rFonts w:ascii="FangSong" w:hAnsi="FangSong" w:eastAsia="FangSong" w:cs="FangSong"/>
          <w:sz w:val="32"/>
          <w:szCs w:val="32"/>
          <w:spacing w:val="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7"/>
        </w:rPr>
        <w:t>条理清楚，现状调查典型性强、准确性高，主要问题分析深</w:t>
      </w:r>
      <w:r>
        <w:rPr>
          <w:rFonts w:ascii="FangSong" w:hAnsi="FangSong" w:eastAsia="FangSong" w:cs="FangSong"/>
          <w:sz w:val="32"/>
          <w:szCs w:val="32"/>
          <w:spacing w:val="8"/>
        </w:rPr>
        <w:t xml:space="preserve">  </w:t>
      </w:r>
      <w:r>
        <w:rPr>
          <w:rFonts w:ascii="FangSong" w:hAnsi="FangSong" w:eastAsia="FangSong" w:cs="FangSong"/>
          <w:sz w:val="32"/>
          <w:szCs w:val="32"/>
          <w:spacing w:val="24"/>
        </w:rPr>
        <w:t>入且合理，对策建议针对性、创新性和可操作性强，3千字</w:t>
      </w:r>
      <w:r>
        <w:rPr>
          <w:rFonts w:ascii="FangSong" w:hAnsi="FangSong" w:eastAsia="FangSong" w:cs="FangSong"/>
          <w:sz w:val="32"/>
          <w:szCs w:val="32"/>
          <w:spacing w:val="4"/>
        </w:rPr>
        <w:t xml:space="preserve">  </w:t>
      </w:r>
      <w:r>
        <w:rPr>
          <w:rFonts w:ascii="FangSong" w:hAnsi="FangSong" w:eastAsia="FangSong" w:cs="FangSong"/>
          <w:sz w:val="32"/>
          <w:szCs w:val="32"/>
          <w:spacing w:val="18"/>
        </w:rPr>
        <w:t>左右。</w:t>
      </w:r>
      <w:r>
        <w:rPr>
          <w:rFonts w:ascii="FangSong" w:hAnsi="FangSong" w:eastAsia="FangSong" w:cs="FangSong"/>
          <w:sz w:val="32"/>
          <w:szCs w:val="32"/>
          <w:spacing w:val="15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8"/>
        </w:rPr>
        <w:t>(3)研究报告摘要：条理清楚，亮点突出，500字以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9"/>
        </w:rPr>
        <w:t>内。</w:t>
      </w:r>
      <w:r>
        <w:rPr>
          <w:rFonts w:ascii="FangSong" w:hAnsi="FangSong" w:eastAsia="FangSong" w:cs="FangSong"/>
          <w:sz w:val="32"/>
          <w:szCs w:val="32"/>
          <w:spacing w:val="11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9"/>
        </w:rPr>
        <w:t>(4)项目负责人须以第一作者或通讯作者在</w:t>
      </w:r>
      <w:r>
        <w:rPr>
          <w:rFonts w:ascii="FangSong" w:hAnsi="FangSong" w:eastAsia="FangSong" w:cs="FangSong"/>
          <w:sz w:val="32"/>
          <w:szCs w:val="32"/>
          <w:spacing w:val="-84"/>
        </w:rPr>
        <w:t xml:space="preserve"> </w:t>
      </w:r>
      <w:r>
        <w:rPr>
          <w:rFonts w:ascii="FangSong" w:hAnsi="FangSong" w:eastAsia="FangSong" w:cs="FangSong"/>
          <w:sz w:val="32"/>
          <w:szCs w:val="32"/>
        </w:rPr>
        <w:t>CN</w:t>
      </w:r>
      <w:r>
        <w:rPr>
          <w:rFonts w:ascii="FangSong" w:hAnsi="FangSong" w:eastAsia="FangSong" w:cs="FangSong"/>
          <w:sz w:val="32"/>
          <w:szCs w:val="32"/>
          <w:spacing w:val="-21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9"/>
        </w:rPr>
        <w:t>期刊发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43"/>
        </w:rPr>
        <w:t>表论文1篇、或出版专著(5万字以上)、或入选省委政策</w:t>
      </w:r>
      <w:r>
        <w:rPr>
          <w:rFonts w:ascii="FangSong" w:hAnsi="FangSong" w:eastAsia="FangSong" w:cs="FangSong"/>
          <w:sz w:val="32"/>
          <w:szCs w:val="32"/>
          <w:spacing w:val="4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9"/>
        </w:rPr>
        <w:t>研究室《政研专报》《调研文稿》或省委改革办《福建改革</w:t>
      </w:r>
      <w:r>
        <w:rPr>
          <w:rFonts w:ascii="FangSong" w:hAnsi="FangSong" w:eastAsia="FangSong" w:cs="FangSong"/>
          <w:sz w:val="32"/>
          <w:szCs w:val="32"/>
          <w:spacing w:val="1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25"/>
        </w:rPr>
        <w:t>财经情况》,研究成果须只标注“福建省科技创新战略研究</w:t>
      </w:r>
    </w:p>
    <w:p>
      <w:pPr>
        <w:ind w:left="19"/>
        <w:spacing w:line="223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2"/>
        </w:rPr>
        <w:t>联合项目资助[项目编号]”。</w:t>
      </w:r>
    </w:p>
    <w:p>
      <w:pPr>
        <w:ind w:left="19" w:right="119" w:firstLine="619"/>
        <w:spacing w:before="205" w:line="347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  <w:b/>
          <w:bCs/>
          <w:spacing w:val="18"/>
        </w:rPr>
        <w:t>2.</w:t>
      </w:r>
      <w:r>
        <w:rPr>
          <w:rFonts w:ascii="Times New Roman" w:hAnsi="Times New Roman" w:eastAsia="Times New Roman" w:cs="Times New Roman"/>
          <w:sz w:val="32"/>
          <w:szCs w:val="32"/>
          <w:spacing w:val="52"/>
        </w:rPr>
        <w:t xml:space="preserve"> </w:t>
      </w:r>
      <w:r>
        <w:rPr>
          <w:rFonts w:ascii="FangSong" w:hAnsi="FangSong" w:eastAsia="FangSong" w:cs="FangSong"/>
          <w:sz w:val="32"/>
          <w:szCs w:val="32"/>
          <w:b/>
          <w:bCs/>
          <w:spacing w:val="18"/>
        </w:rPr>
        <w:t>结题时限要求</w:t>
      </w:r>
      <w:r>
        <w:rPr>
          <w:rFonts w:ascii="FangSong" w:hAnsi="FangSong" w:eastAsia="FangSong" w:cs="FangSong"/>
          <w:sz w:val="32"/>
          <w:szCs w:val="32"/>
          <w:spacing w:val="18"/>
        </w:rPr>
        <w:t>。项目立项后应在规定时限内签</w:t>
      </w:r>
      <w:r>
        <w:rPr>
          <w:rFonts w:ascii="FangSong" w:hAnsi="FangSong" w:eastAsia="FangSong" w:cs="FangSong"/>
          <w:sz w:val="32"/>
          <w:szCs w:val="32"/>
          <w:spacing w:val="17"/>
        </w:rPr>
        <w:t>订任务</w:t>
      </w:r>
      <w:r>
        <w:rPr>
          <w:rFonts w:ascii="FangSong" w:hAnsi="FangSong" w:eastAsia="FangSong" w:cs="FangSong"/>
          <w:sz w:val="32"/>
          <w:szCs w:val="32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18"/>
        </w:rPr>
        <w:t>书，项目研究开始时间为项目任务书签订之日。项目研究时</w:t>
      </w:r>
      <w:r>
        <w:rPr>
          <w:rFonts w:ascii="FangSong" w:hAnsi="FangSong" w:eastAsia="FangSong" w:cs="FangSong"/>
          <w:sz w:val="32"/>
          <w:szCs w:val="32"/>
          <w:spacing w:val="10"/>
        </w:rPr>
        <w:t xml:space="preserve"> </w:t>
      </w:r>
      <w:r>
        <w:rPr>
          <w:rFonts w:ascii="FangSong" w:hAnsi="FangSong" w:eastAsia="FangSong" w:cs="FangSong"/>
          <w:sz w:val="32"/>
          <w:szCs w:val="32"/>
          <w:spacing w:val="24"/>
        </w:rPr>
        <w:t>间不超过1年半。项目延期等事宜按照省科技计</w:t>
      </w:r>
      <w:r>
        <w:rPr>
          <w:rFonts w:ascii="FangSong" w:hAnsi="FangSong" w:eastAsia="FangSong" w:cs="FangSong"/>
          <w:sz w:val="32"/>
          <w:szCs w:val="32"/>
          <w:spacing w:val="23"/>
        </w:rPr>
        <w:t>划项目管理</w:t>
      </w:r>
    </w:p>
    <w:p>
      <w:pPr>
        <w:ind w:left="19"/>
        <w:spacing w:before="1" w:line="220" w:lineRule="auto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z w:val="32"/>
          <w:szCs w:val="32"/>
          <w:spacing w:val="16"/>
        </w:rPr>
        <w:t>办法和省创新战略研究项目等相关规定执行。</w:t>
      </w:r>
    </w:p>
    <w:p>
      <w:pPr>
        <w:sectPr>
          <w:footerReference w:type="default" r:id="rId8"/>
          <w:pgSz w:w="11900" w:h="16820"/>
          <w:pgMar w:top="1429" w:right="1429" w:bottom="1624" w:left="1509" w:header="0" w:footer="1306" w:gutter="0"/>
        </w:sectPr>
        <w:rPr/>
      </w:pP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ind w:left="684"/>
        <w:spacing w:before="101" w:line="221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2"/>
        </w:rPr>
        <w:t>六、</w:t>
      </w:r>
      <w:r>
        <w:rPr>
          <w:rFonts w:ascii="SimHei" w:hAnsi="SimHei" w:eastAsia="SimHei" w:cs="SimHei"/>
          <w:sz w:val="31"/>
          <w:szCs w:val="31"/>
          <w:spacing w:val="-85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2"/>
        </w:rPr>
        <w:t>联系方式</w:t>
      </w:r>
    </w:p>
    <w:p>
      <w:pPr>
        <w:ind w:left="679"/>
        <w:spacing w:before="214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25"/>
        </w:rPr>
        <w:t>福建省科技厅发展规划与政策法规处</w:t>
      </w:r>
      <w:r>
        <w:rPr>
          <w:rFonts w:ascii="FangSong" w:hAnsi="FangSong" w:eastAsia="FangSong" w:cs="FangSong"/>
          <w:sz w:val="31"/>
          <w:szCs w:val="31"/>
          <w:spacing w:val="24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25"/>
        </w:rPr>
        <w:t>联系人：陈哲、</w:t>
      </w:r>
    </w:p>
    <w:p>
      <w:pPr>
        <w:spacing w:before="238" w:line="223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8"/>
        </w:rPr>
        <w:t>庄灵习，</w:t>
      </w:r>
      <w:r>
        <w:rPr>
          <w:rFonts w:ascii="FangSong" w:hAnsi="FangSong" w:eastAsia="FangSong" w:cs="FangSong"/>
          <w:sz w:val="31"/>
          <w:szCs w:val="31"/>
          <w:spacing w:val="144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8"/>
        </w:rPr>
        <w:t>电话：0591-87882060、87881077。</w:t>
      </w:r>
    </w:p>
    <w:p>
      <w:pPr>
        <w:ind w:firstLine="679"/>
        <w:spacing w:before="223" w:line="357" w:lineRule="auto"/>
        <w:jc w:val="both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18"/>
        </w:rPr>
        <w:t>福建省科协学会学术部</w:t>
      </w:r>
      <w:r>
        <w:rPr>
          <w:rFonts w:ascii="FangSong" w:hAnsi="FangSong" w:eastAsia="FangSong" w:cs="FangSong"/>
          <w:sz w:val="31"/>
          <w:szCs w:val="31"/>
          <w:spacing w:val="31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8"/>
        </w:rPr>
        <w:t>联系人：陈纾难、张曼，电话：</w:t>
      </w:r>
      <w:r>
        <w:rPr>
          <w:rFonts w:ascii="FangSong" w:hAnsi="FangSong" w:eastAsia="FangSong" w:cs="FangSong"/>
          <w:sz w:val="31"/>
          <w:szCs w:val="31"/>
        </w:rPr>
        <w:t xml:space="preserve"> </w:t>
      </w:r>
      <w:r>
        <w:rPr>
          <w:rFonts w:ascii="FangSong" w:hAnsi="FangSong" w:eastAsia="FangSong" w:cs="FangSong"/>
          <w:sz w:val="31"/>
          <w:szCs w:val="31"/>
          <w:spacing w:val="10"/>
        </w:rPr>
        <w:t>0591-86270697、86270622,邮箱：</w:t>
      </w:r>
      <w:r>
        <w:rPr>
          <w:rFonts w:ascii="FangSong" w:hAnsi="FangSong" w:eastAsia="FangSong" w:cs="FangSong"/>
          <w:sz w:val="31"/>
          <w:szCs w:val="31"/>
          <w:spacing w:val="15"/>
        </w:rPr>
        <w:t xml:space="preserve"> </w:t>
      </w:r>
      <w:r>
        <w:rPr>
          <w:rFonts w:ascii="FangSong" w:hAnsi="FangSong" w:eastAsia="FangSong" w:cs="FangSong"/>
          <w:sz w:val="31"/>
          <w:szCs w:val="31"/>
        </w:rPr>
        <w:t>fjkxxhb</w:t>
      </w:r>
      <w:r>
        <w:rPr>
          <w:rFonts w:ascii="FangSong" w:hAnsi="FangSong" w:eastAsia="FangSong" w:cs="FangSong"/>
          <w:sz w:val="31"/>
          <w:szCs w:val="31"/>
          <w:spacing w:val="10"/>
        </w:rPr>
        <w:t>@163.</w:t>
      </w:r>
      <w:r>
        <w:rPr>
          <w:rFonts w:ascii="FangSong" w:hAnsi="FangSong" w:eastAsia="FangSong" w:cs="FangSong"/>
          <w:sz w:val="31"/>
          <w:szCs w:val="31"/>
        </w:rPr>
        <w:t>com</w:t>
      </w:r>
      <w:r>
        <w:rPr>
          <w:rFonts w:ascii="FangSong" w:hAnsi="FangSong" w:eastAsia="FangSong" w:cs="FangSong"/>
          <w:sz w:val="31"/>
          <w:szCs w:val="31"/>
          <w:spacing w:val="10"/>
        </w:rPr>
        <w:t>,</w:t>
      </w:r>
      <w:r>
        <w:rPr>
          <w:rFonts w:ascii="FangSong" w:hAnsi="FangSong" w:eastAsia="FangSong" w:cs="FangSong"/>
          <w:sz w:val="31"/>
          <w:szCs w:val="31"/>
          <w:spacing w:val="17"/>
        </w:rPr>
        <w:t xml:space="preserve">  </w:t>
      </w:r>
      <w:r>
        <w:rPr>
          <w:rFonts w:ascii="FangSong" w:hAnsi="FangSong" w:eastAsia="FangSong" w:cs="FangSong"/>
          <w:sz w:val="31"/>
          <w:szCs w:val="31"/>
          <w:spacing w:val="10"/>
        </w:rPr>
        <w:t>地址</w:t>
      </w:r>
      <w:r>
        <w:rPr>
          <w:rFonts w:ascii="FangSong" w:hAnsi="FangSong" w:eastAsia="FangSong" w:cs="FangSong"/>
          <w:sz w:val="31"/>
          <w:szCs w:val="31"/>
          <w:spacing w:val="9"/>
        </w:rPr>
        <w:t>：</w:t>
      </w:r>
    </w:p>
    <w:p>
      <w:pPr>
        <w:spacing w:before="1" w:line="221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34"/>
        </w:rPr>
        <w:t>福州市东大路73号东湖大院2号楼(邮编：350001)。</w:t>
      </w:r>
    </w:p>
    <w:p>
      <w:pPr>
        <w:ind w:left="684"/>
        <w:spacing w:before="206" w:line="211" w:lineRule="auto"/>
        <w:outlineLvl w:val="0"/>
        <w:rPr>
          <w:rFonts w:ascii="SimSun" w:hAnsi="SimSun" w:eastAsia="SimSun" w:cs="SimSun"/>
          <w:sz w:val="33"/>
          <w:szCs w:val="33"/>
        </w:rPr>
      </w:pPr>
      <w:r>
        <w:rPr>
          <w:rFonts w:ascii="SimSun" w:hAnsi="SimSun" w:eastAsia="SimSun" w:cs="SimSun"/>
          <w:sz w:val="33"/>
          <w:szCs w:val="33"/>
          <w:b/>
          <w:bCs/>
          <w:spacing w:val="-6"/>
        </w:rPr>
        <w:t>七、申报指标</w:t>
      </w:r>
    </w:p>
    <w:tbl>
      <w:tblPr>
        <w:tblStyle w:val="2"/>
        <w:tblW w:w="8509" w:type="dxa"/>
        <w:tblInd w:w="15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4290"/>
        <w:gridCol w:w="1488"/>
        <w:gridCol w:w="2731"/>
      </w:tblGrid>
      <w:tr>
        <w:trPr>
          <w:trHeight w:val="554" w:hRule="atLeast"/>
        </w:trPr>
        <w:tc>
          <w:tcPr>
            <w:tcW w:w="4290" w:type="dxa"/>
            <w:vAlign w:val="top"/>
          </w:tcPr>
          <w:p>
            <w:pPr>
              <w:ind w:left="1758"/>
              <w:spacing w:before="19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9"/>
              </w:rPr>
              <w:t>单</w:t>
            </w: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 xml:space="preserve">  </w:t>
            </w: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9"/>
              </w:rPr>
              <w:t>位</w:t>
            </w:r>
          </w:p>
        </w:tc>
        <w:tc>
          <w:tcPr>
            <w:tcW w:w="1488" w:type="dxa"/>
            <w:vAlign w:val="top"/>
          </w:tcPr>
          <w:p>
            <w:pPr>
              <w:ind w:left="478"/>
              <w:spacing w:before="192" w:line="220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7"/>
              </w:rPr>
              <w:t>指标</w:t>
            </w:r>
          </w:p>
        </w:tc>
        <w:tc>
          <w:tcPr>
            <w:tcW w:w="2731" w:type="dxa"/>
            <w:vAlign w:val="top"/>
          </w:tcPr>
          <w:p>
            <w:pPr>
              <w:ind w:left="1040"/>
              <w:spacing w:before="183" w:line="22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b/>
                <w:bCs/>
                <w:spacing w:val="-7"/>
              </w:rPr>
              <w:t>备注</w:t>
            </w:r>
          </w:p>
        </w:tc>
      </w:tr>
      <w:tr>
        <w:trPr>
          <w:trHeight w:val="868" w:hRule="atLeast"/>
        </w:trPr>
        <w:tc>
          <w:tcPr>
            <w:tcW w:w="4290" w:type="dxa"/>
            <w:vAlign w:val="top"/>
            <w:tcBorders>
              <w:bottom w:val="none" w:color="000000" w:sz="2" w:space="0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84" w:line="18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7"/>
              </w:rPr>
              <w:t>福建省一流大学建设高校(厦门大</w:t>
            </w:r>
          </w:p>
        </w:tc>
        <w:tc>
          <w:tcPr>
            <w:tcW w:w="1488" w:type="dxa"/>
            <w:vAlign w:val="top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4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7"/>
              <w:spacing w:before="14" w:line="192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1"/>
              </w:rPr>
              <w:t>二级学院或系的具体</w:t>
            </w:r>
          </w:p>
        </w:tc>
      </w:tr>
      <w:tr>
        <w:trPr>
          <w:trHeight w:val="260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4"/>
              <w:spacing w:before="8" w:line="186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0"/>
              </w:rPr>
              <w:t>学、华侨大学、福州大学、福建农林</w:t>
            </w:r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99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604"/>
              <w:spacing w:before="5" w:line="184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8"/>
              </w:rPr>
              <w:t>15</w:t>
            </w:r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7"/>
              <w:spacing w:before="30" w:line="191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1"/>
              </w:rPr>
              <w:t>申报数由各高校进行</w:t>
            </w:r>
          </w:p>
        </w:tc>
      </w:tr>
      <w:tr>
        <w:trPr>
          <w:trHeight w:val="287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4"/>
              <w:spacing w:before="20" w:line="197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-6"/>
              </w:rPr>
              <w:t>大学、福建师范大学、福建医科大学、</w:t>
            </w:r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72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7"/>
              <w:spacing w:before="14" w:line="190" w:lineRule="auto"/>
              <w:rPr>
                <w:rFonts w:ascii="SimSun" w:hAnsi="SimSun" w:eastAsia="SimSun" w:cs="SimSun"/>
                <w:sz w:val="25"/>
                <w:szCs w:val="25"/>
              </w:rPr>
            </w:pPr>
            <w:r>
              <w:rPr>
                <w:rFonts w:ascii="SimSun" w:hAnsi="SimSun" w:eastAsia="SimSun" w:cs="SimSun"/>
                <w:sz w:val="25"/>
                <w:szCs w:val="25"/>
                <w:spacing w:val="15"/>
              </w:rPr>
              <w:t>分配</w:t>
            </w:r>
          </w:p>
        </w:tc>
      </w:tr>
      <w:tr>
        <w:trPr>
          <w:trHeight w:val="676" w:hRule="atLeast"/>
        </w:trPr>
        <w:tc>
          <w:tcPr>
            <w:tcW w:w="4290" w:type="dxa"/>
            <w:vAlign w:val="top"/>
            <w:tcBorders>
              <w:top w:val="none" w:color="000000" w:sz="2" w:space="0"/>
            </w:tcBorders>
          </w:tcPr>
          <w:p>
            <w:pPr>
              <w:ind w:left="114"/>
              <w:spacing w:before="11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4"/>
              </w:rPr>
              <w:t>福建中医药大学、集美大学)</w:t>
            </w:r>
          </w:p>
        </w:tc>
        <w:tc>
          <w:tcPr>
            <w:tcW w:w="1488" w:type="dxa"/>
            <w:vAlign w:val="top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48" w:hRule="atLeast"/>
        </w:trPr>
        <w:tc>
          <w:tcPr>
            <w:tcW w:w="4290" w:type="dxa"/>
            <w:vAlign w:val="top"/>
          </w:tcPr>
          <w:p>
            <w:pPr>
              <w:spacing w:line="417" w:lineRule="auto"/>
              <w:rPr>
                <w:rFonts w:ascii="Arial"/>
                <w:sz w:val="21"/>
              </w:rPr>
            </w:pPr>
            <w:r/>
          </w:p>
          <w:p>
            <w:pPr>
              <w:ind w:left="114"/>
              <w:spacing w:before="84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其它有推荐权限的各本科高校</w:t>
            </w:r>
          </w:p>
        </w:tc>
        <w:tc>
          <w:tcPr>
            <w:tcW w:w="148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604"/>
              <w:spacing w:before="85" w:line="184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-8"/>
              </w:rPr>
              <w:t>10</w:t>
            </w:r>
          </w:p>
        </w:tc>
        <w:tc>
          <w:tcPr>
            <w:tcW w:w="27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647" w:hRule="atLeast"/>
        </w:trPr>
        <w:tc>
          <w:tcPr>
            <w:tcW w:w="4290" w:type="dxa"/>
            <w:vAlign w:val="top"/>
            <w:tcBorders>
              <w:bottom w:val="none" w:color="000000" w:sz="2" w:space="0"/>
            </w:tcBorders>
          </w:tcPr>
          <w:p>
            <w:pPr>
              <w:ind w:left="114"/>
              <w:spacing w:before="246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8"/>
              </w:rPr>
              <w:t>中直及省属科研院所、省创新实验</w:t>
            </w:r>
          </w:p>
        </w:tc>
        <w:tc>
          <w:tcPr>
            <w:tcW w:w="1488" w:type="dxa"/>
            <w:vAlign w:val="top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05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4"/>
              <w:spacing w:before="159" w:line="18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20"/>
              </w:rPr>
              <w:t>室、省级医院及省科协所属省级学会</w:t>
            </w:r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47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674"/>
              <w:spacing w:before="13" w:line="166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</w:rPr>
              <w:t>4</w:t>
            </w:r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61" w:hRule="atLeast"/>
        </w:trPr>
        <w:tc>
          <w:tcPr>
            <w:tcW w:w="4290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ind w:left="114"/>
              <w:spacing w:before="67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6"/>
              </w:rPr>
              <w:t>(协会、研究会)及无推荐权限的其</w:t>
            </w:r>
          </w:p>
        </w:tc>
        <w:tc>
          <w:tcPr>
            <w:tcW w:w="1488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bottom w:val="none" w:color="000000" w:sz="2" w:space="0"/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4290" w:type="dxa"/>
            <w:vAlign w:val="top"/>
            <w:tcBorders>
              <w:top w:val="none" w:color="000000" w:sz="2" w:space="0"/>
            </w:tcBorders>
          </w:tcPr>
          <w:p>
            <w:pPr>
              <w:ind w:left="114"/>
              <w:spacing w:before="156" w:line="219" w:lineRule="auto"/>
              <w:rPr>
                <w:rFonts w:ascii="SimSun" w:hAnsi="SimSun" w:eastAsia="SimSun" w:cs="SimSun"/>
                <w:sz w:val="26"/>
                <w:szCs w:val="26"/>
              </w:rPr>
            </w:pPr>
            <w:r>
              <w:rPr>
                <w:rFonts w:ascii="SimSun" w:hAnsi="SimSun" w:eastAsia="SimSun" w:cs="SimSun"/>
                <w:sz w:val="26"/>
                <w:szCs w:val="26"/>
                <w:spacing w:val="2"/>
              </w:rPr>
              <w:t>他本科高校</w:t>
            </w:r>
          </w:p>
        </w:tc>
        <w:tc>
          <w:tcPr>
            <w:tcW w:w="1488" w:type="dxa"/>
            <w:vAlign w:val="top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31" w:type="dxa"/>
            <w:vAlign w:val="top"/>
            <w:tcBorders>
              <w:top w:val="non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footerReference w:type="default" r:id="rId9"/>
          <w:pgSz w:w="11900" w:h="16820"/>
          <w:pgMar w:top="1429" w:right="1434" w:bottom="1625" w:left="1539" w:header="0" w:footer="1319" w:gutter="0"/>
        </w:sectPr>
        <w:rPr/>
      </w:pPr>
    </w:p>
    <w:p>
      <w:pPr>
        <w:spacing w:line="254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1549384</wp:posOffset>
            </wp:positionH>
            <wp:positionV relativeFrom="page">
              <wp:posOffset>4406856</wp:posOffset>
            </wp:positionV>
            <wp:extent cx="1682756" cy="1663732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82756" cy="1663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4502162</wp:posOffset>
            </wp:positionH>
            <wp:positionV relativeFrom="page">
              <wp:posOffset>9442486</wp:posOffset>
            </wp:positionV>
            <wp:extent cx="1866908" cy="520684"/>
            <wp:effectExtent l="0" t="0" r="0" b="0"/>
            <wp:wrapNone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66908" cy="520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ind w:left="744"/>
        <w:spacing w:before="101" w:line="222" w:lineRule="auto"/>
        <w:outlineLvl w:val="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z w:val="31"/>
          <w:szCs w:val="31"/>
          <w:b/>
          <w:bCs/>
          <w:spacing w:val="-4"/>
        </w:rPr>
        <w:t>八、</w:t>
      </w:r>
      <w:r>
        <w:rPr>
          <w:rFonts w:ascii="SimHei" w:hAnsi="SimHei" w:eastAsia="SimHei" w:cs="SimHei"/>
          <w:sz w:val="31"/>
          <w:szCs w:val="31"/>
          <w:spacing w:val="-10"/>
        </w:rPr>
        <w:t xml:space="preserve"> </w:t>
      </w:r>
      <w:r>
        <w:rPr>
          <w:rFonts w:ascii="SimHei" w:hAnsi="SimHei" w:eastAsia="SimHei" w:cs="SimHei"/>
          <w:sz w:val="31"/>
          <w:szCs w:val="31"/>
          <w:b/>
          <w:bCs/>
          <w:spacing w:val="-4"/>
        </w:rPr>
        <w:t>申报代码</w:t>
      </w:r>
    </w:p>
    <w:p>
      <w:pPr>
        <w:ind w:left="864"/>
        <w:spacing w:before="224" w:line="220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b/>
          <w:bCs/>
          <w:spacing w:val="26"/>
        </w:rPr>
        <w:t>2023年省创新战略研究计划联合项目申报代码表</w:t>
      </w:r>
    </w:p>
    <w:tbl>
      <w:tblPr>
        <w:tblStyle w:val="2"/>
        <w:tblW w:w="8539" w:type="dxa"/>
        <w:tblInd w:w="17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683"/>
        <w:gridCol w:w="1618"/>
        <w:gridCol w:w="1548"/>
        <w:gridCol w:w="2067"/>
        <w:gridCol w:w="1623"/>
      </w:tblGrid>
      <w:tr>
        <w:trPr>
          <w:trHeight w:val="1102" w:hRule="atLeast"/>
        </w:trPr>
        <w:tc>
          <w:tcPr>
            <w:tcW w:w="1683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ind w:left="298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业务处室</w:t>
            </w:r>
          </w:p>
        </w:tc>
        <w:tc>
          <w:tcPr>
            <w:tcW w:w="1618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ind w:left="115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</w:rPr>
              <w:t>计划类别</w:t>
            </w:r>
          </w:p>
        </w:tc>
        <w:tc>
          <w:tcPr>
            <w:tcW w:w="1548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ind w:left="227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1"/>
              </w:rPr>
              <w:t>项目类型</w:t>
            </w:r>
          </w:p>
        </w:tc>
        <w:tc>
          <w:tcPr>
            <w:tcW w:w="2067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ind w:left="489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5"/>
              </w:rPr>
              <w:t>优先主题</w:t>
            </w:r>
          </w:p>
        </w:tc>
        <w:tc>
          <w:tcPr>
            <w:tcW w:w="1623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  <w:r/>
          </w:p>
          <w:p>
            <w:pPr>
              <w:ind w:left="542"/>
              <w:spacing w:before="88" w:line="219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b/>
                <w:bCs/>
                <w:spacing w:val="-6"/>
              </w:rPr>
              <w:t>代码</w:t>
            </w:r>
          </w:p>
        </w:tc>
      </w:tr>
      <w:tr>
        <w:trPr>
          <w:trHeight w:val="2298" w:hRule="atLeast"/>
        </w:trPr>
        <w:tc>
          <w:tcPr>
            <w:tcW w:w="168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spacing w:line="255" w:lineRule="auto"/>
              <w:rPr>
                <w:rFonts w:ascii="Arial"/>
                <w:sz w:val="21"/>
              </w:rPr>
            </w:pPr>
            <w:r/>
          </w:p>
          <w:p>
            <w:pPr>
              <w:ind w:left="424"/>
              <w:spacing w:before="88" w:line="538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7"/>
                <w:position w:val="20"/>
              </w:rPr>
              <w:t>规划与</w:t>
            </w:r>
          </w:p>
          <w:p>
            <w:pPr>
              <w:ind w:left="424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3"/>
              </w:rPr>
              <w:t>政策处</w:t>
            </w:r>
          </w:p>
        </w:tc>
        <w:tc>
          <w:tcPr>
            <w:tcW w:w="1618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ind w:left="111" w:right="123"/>
              <w:spacing w:before="87" w:line="387" w:lineRule="auto"/>
              <w:jc w:val="both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基础研究与</w:t>
            </w:r>
            <w:r>
              <w:rPr>
                <w:rFonts w:ascii="SimSun" w:hAnsi="SimSun" w:eastAsia="SimSun" w:cs="SimSun"/>
                <w:sz w:val="27"/>
                <w:szCs w:val="27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7"/>
                <w:szCs w:val="27"/>
                <w:spacing w:val="2"/>
              </w:rPr>
              <w:t>高校产学研</w:t>
            </w:r>
          </w:p>
          <w:p>
            <w:pPr>
              <w:ind w:left="111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4"/>
              </w:rPr>
              <w:t>合作计划</w:t>
            </w:r>
          </w:p>
        </w:tc>
        <w:tc>
          <w:tcPr>
            <w:tcW w:w="1548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ind w:left="93"/>
              <w:spacing w:before="88" w:line="568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2"/>
              </w:rPr>
              <w:t>创新战略研</w:t>
            </w:r>
          </w:p>
          <w:p>
            <w:pPr>
              <w:ind w:left="93"/>
              <w:spacing w:line="218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10"/>
              </w:rPr>
              <w:t>究计划项目</w:t>
            </w:r>
          </w:p>
        </w:tc>
        <w:tc>
          <w:tcPr>
            <w:tcW w:w="2067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215"/>
              <w:spacing w:before="88" w:line="572" w:lineRule="exact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2"/>
                <w:position w:val="23"/>
              </w:rPr>
              <w:t>创新战略研究</w:t>
            </w:r>
          </w:p>
          <w:p>
            <w:pPr>
              <w:ind w:left="215"/>
              <w:spacing w:line="220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8"/>
              </w:rPr>
              <w:t>计划联合项目</w:t>
            </w:r>
          </w:p>
        </w:tc>
        <w:tc>
          <w:tcPr>
            <w:tcW w:w="1623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198"/>
              <w:spacing w:before="88" w:line="184" w:lineRule="auto"/>
              <w:rPr>
                <w:rFonts w:ascii="SimSun" w:hAnsi="SimSun" w:eastAsia="SimSun" w:cs="SimSun"/>
                <w:sz w:val="27"/>
                <w:szCs w:val="27"/>
              </w:rPr>
            </w:pPr>
            <w:r>
              <w:rPr>
                <w:rFonts w:ascii="SimSun" w:hAnsi="SimSun" w:eastAsia="SimSun" w:cs="SimSun"/>
                <w:sz w:val="27"/>
                <w:szCs w:val="27"/>
                <w:spacing w:val="-2"/>
              </w:rPr>
              <w:t>2023R0104</w:t>
            </w:r>
          </w:p>
        </w:tc>
      </w:tr>
    </w:tbl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ind w:right="400"/>
        <w:spacing w:before="100" w:line="222" w:lineRule="auto"/>
        <w:jc w:val="right"/>
        <w:rPr>
          <w:rFonts w:ascii="FangSong" w:hAnsi="FangSong" w:eastAsia="FangSong" w:cs="FangSong"/>
          <w:sz w:val="31"/>
          <w:szCs w:val="31"/>
        </w:rPr>
      </w:pPr>
      <w:r>
        <w:pict>
          <v:shape id="_x0000_s1" style="position:absolute;margin-left:44.4996pt;margin-top:4.04001pt;mso-position-vertical-relative:text;mso-position-horizontal-relative:text;width:135.05pt;height:20.7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22" w:lineRule="auto"/>
                    <w:rPr>
                      <w:rFonts w:ascii="FangSong" w:hAnsi="FangSong" w:eastAsia="FangSong" w:cs="FangSong"/>
                      <w:sz w:val="31"/>
                      <w:szCs w:val="31"/>
                    </w:rPr>
                  </w:pPr>
                  <w:r>
                    <w:rPr>
                      <w:rFonts w:ascii="FangSong" w:hAnsi="FangSong" w:eastAsia="FangSong" w:cs="FangSong"/>
                      <w:sz w:val="31"/>
                      <w:szCs w:val="31"/>
                      <w:spacing w:val="22"/>
                    </w:rPr>
                    <w:t>福建省科学技术厅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3575055</wp:posOffset>
            </wp:positionH>
            <wp:positionV relativeFrom="paragraph">
              <wp:posOffset>-647301</wp:posOffset>
            </wp:positionV>
            <wp:extent cx="1657367" cy="167003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657367" cy="1670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hAnsi="FangSong" w:eastAsia="FangSong" w:cs="FangSong"/>
          <w:sz w:val="31"/>
          <w:szCs w:val="31"/>
          <w:spacing w:val="23"/>
        </w:rPr>
        <w:t>福建省科学技术协会</w:t>
      </w:r>
    </w:p>
    <w:p>
      <w:pPr>
        <w:ind w:left="5630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5"/>
          <w:w w:val="106"/>
        </w:rPr>
        <w:t>2023年6月27日</w:t>
      </w:r>
    </w:p>
    <w:p>
      <w:pPr>
        <w:ind w:left="860"/>
        <w:spacing w:before="207" w:line="222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1"/>
        </w:rPr>
        <w:t>(此件主动公开)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firstLine="29"/>
        <w:spacing w:line="20" w:lineRule="exact"/>
        <w:textAlignment w:val="center"/>
        <w:rPr/>
      </w:pPr>
      <w:r>
        <w:drawing>
          <wp:inline distT="0" distB="0" distL="0" distR="0">
            <wp:extent cx="5626116" cy="12710"/>
            <wp:effectExtent l="0" t="0" r="0" b="0"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26116" cy="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240"/>
        <w:spacing w:before="129" w:line="227" w:lineRule="auto"/>
        <w:rPr>
          <w:rFonts w:ascii="FangSong" w:hAnsi="FangSong" w:eastAsia="FangSong" w:cs="FangSong"/>
          <w:sz w:val="31"/>
          <w:szCs w:val="31"/>
        </w:rPr>
      </w:pPr>
      <w:r>
        <w:rPr>
          <w:rFonts w:ascii="FangSong" w:hAnsi="FangSong" w:eastAsia="FangSong" w:cs="FangSong"/>
          <w:sz w:val="31"/>
          <w:szCs w:val="31"/>
          <w:spacing w:val="4"/>
          <w:position w:val="2"/>
        </w:rPr>
        <w:t>福建省科学技术厅办公室</w:t>
      </w:r>
      <w:r>
        <w:rPr>
          <w:rFonts w:ascii="FangSong" w:hAnsi="FangSong" w:eastAsia="FangSong" w:cs="FangSong"/>
          <w:sz w:val="31"/>
          <w:szCs w:val="31"/>
          <w:spacing w:val="8"/>
          <w:position w:val="2"/>
        </w:rPr>
        <w:t xml:space="preserve">             </w:t>
      </w:r>
      <w:r>
        <w:rPr>
          <w:rFonts w:ascii="FangSong" w:hAnsi="FangSong" w:eastAsia="FangSong" w:cs="FangSong"/>
          <w:sz w:val="31"/>
          <w:szCs w:val="31"/>
          <w:color w:val="215037"/>
          <w:spacing w:val="4"/>
          <w:position w:val="-1"/>
        </w:rPr>
        <w:t>2023年6月28日印发</w:t>
      </w:r>
    </w:p>
    <w:p>
      <w:pPr>
        <w:ind w:firstLine="9"/>
        <w:spacing w:before="49" w:line="20" w:lineRule="exact"/>
        <w:textAlignment w:val="center"/>
        <w:rPr/>
      </w:pPr>
      <w:r>
        <w:drawing>
          <wp:inline distT="0" distB="0" distL="0" distR="0">
            <wp:extent cx="5645158" cy="12710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45158" cy="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3" w:line="183" w:lineRule="auto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spacing w:val="-4"/>
        </w:rPr>
        <w:t>—8—</w:t>
      </w:r>
    </w:p>
    <w:sectPr>
      <w:footerReference w:type="default" r:id="rId10"/>
      <w:pgSz w:w="11900" w:h="16820"/>
      <w:pgMar w:top="1429" w:right="1519" w:bottom="400" w:left="148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7980"/>
      <w:spacing w:before="1" w:line="183" w:lineRule="auto"/>
      <w:rPr>
        <w:rFonts w:ascii="SimSun" w:hAnsi="SimSun" w:eastAsia="SimSun" w:cs="SimSun"/>
        <w:sz w:val="32"/>
        <w:szCs w:val="32"/>
      </w:rPr>
    </w:pPr>
    <w:r>
      <w:rPr>
        <w:rFonts w:ascii="SimSun" w:hAnsi="SimSun" w:eastAsia="SimSun" w:cs="SimSun"/>
        <w:sz w:val="32"/>
        <w:szCs w:val="32"/>
        <w:spacing w:val="-16"/>
      </w:rPr>
      <w:t>—</w:t>
    </w:r>
    <w:r>
      <w:rPr>
        <w:rFonts w:ascii="SimSun" w:hAnsi="SimSun" w:eastAsia="SimSun" w:cs="SimSun"/>
        <w:sz w:val="32"/>
        <w:szCs w:val="32"/>
        <w:spacing w:val="-123"/>
      </w:rPr>
      <w:t xml:space="preserve"> </w:t>
    </w:r>
    <w:r>
      <w:rPr>
        <w:rFonts w:ascii="SimSun" w:hAnsi="SimSun" w:eastAsia="SimSun" w:cs="SimSun"/>
        <w:sz w:val="32"/>
        <w:szCs w:val="32"/>
        <w:spacing w:val="-16"/>
      </w:rPr>
      <w:t>1—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3" w:lineRule="auto"/>
      <w:rPr>
        <w:rFonts w:ascii="SimSun" w:hAnsi="SimSun" w:eastAsia="SimSun" w:cs="SimSun"/>
        <w:sz w:val="31"/>
        <w:szCs w:val="31"/>
      </w:rPr>
    </w:pPr>
    <w:r>
      <w:rPr>
        <w:rFonts w:ascii="SimSun" w:hAnsi="SimSun" w:eastAsia="SimSun" w:cs="SimSun"/>
        <w:sz w:val="31"/>
        <w:szCs w:val="31"/>
        <w:spacing w:val="-4"/>
      </w:rPr>
      <w:t>—2—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167"/>
      <w:spacing w:line="183" w:lineRule="auto"/>
      <w:jc w:val="right"/>
      <w:rPr>
        <w:rFonts w:ascii="SimSun" w:hAnsi="SimSun" w:eastAsia="SimSun" w:cs="SimSun"/>
        <w:sz w:val="31"/>
        <w:szCs w:val="31"/>
      </w:rPr>
    </w:pPr>
    <w:r>
      <w:rPr>
        <w:rFonts w:ascii="SimSun" w:hAnsi="SimSun" w:eastAsia="SimSun" w:cs="SimSun"/>
        <w:sz w:val="31"/>
        <w:szCs w:val="31"/>
        <w:spacing w:val="-4"/>
      </w:rPr>
      <w:t>—3—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3" w:lineRule="auto"/>
      <w:rPr>
        <w:rFonts w:ascii="SimSun" w:hAnsi="SimSun" w:eastAsia="SimSun" w:cs="SimSun"/>
        <w:sz w:val="31"/>
        <w:szCs w:val="31"/>
      </w:rPr>
    </w:pPr>
    <w:r>
      <w:rPr>
        <w:rFonts w:ascii="SimSun" w:hAnsi="SimSun" w:eastAsia="SimSun" w:cs="SimSun"/>
        <w:sz w:val="31"/>
        <w:szCs w:val="31"/>
        <w:spacing w:val="-4"/>
      </w:rPr>
      <w:t>—4—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269"/>
      <w:spacing w:before="1" w:line="181" w:lineRule="auto"/>
      <w:jc w:val="right"/>
      <w:rPr>
        <w:rFonts w:ascii="SimSun" w:hAnsi="SimSun" w:eastAsia="SimSun" w:cs="SimSun"/>
        <w:sz w:val="31"/>
        <w:szCs w:val="31"/>
      </w:rPr>
    </w:pPr>
    <w:r>
      <w:rPr>
        <w:rFonts w:ascii="SimSun" w:hAnsi="SimSun" w:eastAsia="SimSun" w:cs="SimSun"/>
        <w:sz w:val="31"/>
        <w:szCs w:val="31"/>
        <w:spacing w:val="-4"/>
      </w:rPr>
      <w:t>—5—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83" w:lineRule="auto"/>
      <w:rPr>
        <w:rFonts w:ascii="SimSun" w:hAnsi="SimSun" w:eastAsia="SimSun" w:cs="SimSun"/>
        <w:sz w:val="32"/>
        <w:szCs w:val="32"/>
      </w:rPr>
    </w:pPr>
    <w:r>
      <w:rPr>
        <w:rFonts w:ascii="SimSun" w:hAnsi="SimSun" w:eastAsia="SimSun" w:cs="SimSun"/>
        <w:sz w:val="32"/>
        <w:szCs w:val="32"/>
        <w:spacing w:val="-4"/>
      </w:rPr>
      <w:t>—6—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right="259"/>
      <w:spacing w:before="1" w:line="181" w:lineRule="auto"/>
      <w:jc w:val="right"/>
      <w:rPr>
        <w:rFonts w:ascii="SimSun" w:hAnsi="SimSun" w:eastAsia="SimSun" w:cs="SimSun"/>
        <w:sz w:val="31"/>
        <w:szCs w:val="31"/>
      </w:rPr>
    </w:pPr>
    <w:r>
      <w:rPr>
        <w:rFonts w:ascii="SimSun" w:hAnsi="SimSun" w:eastAsia="SimSun" w:cs="SimSun"/>
        <w:sz w:val="31"/>
        <w:szCs w:val="31"/>
        <w:spacing w:val="-4"/>
      </w:rPr>
      <w:t>—7—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hyperlink" Target="http://xmgl.kjt.fujian.gov.cn" TargetMode="External"/><Relationship Id="rId6" Type="http://schemas.openxmlformats.org/officeDocument/2006/relationships/footer" Target="footer5.xml"/><Relationship Id="rId5" Type="http://schemas.openxmlformats.org/officeDocument/2006/relationships/footer" Target="footer4.xml"/><Relationship Id="rId4" Type="http://schemas.openxmlformats.org/officeDocument/2006/relationships/footer" Target="footer3.xml"/><Relationship Id="rId3" Type="http://schemas.openxmlformats.org/officeDocument/2006/relationships/footer" Target="footer2.xml"/><Relationship Id="rId2" Type="http://schemas.openxmlformats.org/officeDocument/2006/relationships/image" Target="media/image1.png"/><Relationship Id="rId18" Type="http://schemas.openxmlformats.org/officeDocument/2006/relationships/fontTable" Target="fontTable.xml"/><Relationship Id="rId17" Type="http://schemas.openxmlformats.org/officeDocument/2006/relationships/styles" Target="styles.xml"/><Relationship Id="rId16" Type="http://schemas.openxmlformats.org/officeDocument/2006/relationships/settings" Target="settings.xml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pn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footer" Target="footer8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2023-07-03T10:19:55Z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2023-07-03T10:19:56</vt:filetime>
  </property>
  <property fmtid="{D5CDD505-2E9C-101B-9397-08002B2CF9AE}" pid="4" name="UsrData">
    <vt:lpwstr>64a23036daff7b001fdc8dfa</vt:lpwstr>
  </property>
</Properties>
</file>